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276" w:lineRule="auto"/>
        <w:jc w:val="both"/>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-914399</wp:posOffset>
            </wp:positionH>
            <wp:positionV relativeFrom="paragraph">
              <wp:posOffset>-1088389</wp:posOffset>
            </wp:positionV>
            <wp:extent cx="7559040" cy="10677793"/>
            <wp:effectExtent b="0" l="0" r="0" t="0"/>
            <wp:wrapNone/>
            <wp:docPr id="200504045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7559040" cy="10677793"/>
                    </a:xfrm>
                    <a:prstGeom prst="rect"/>
                    <a:ln/>
                  </pic:spPr>
                </pic:pic>
              </a:graphicData>
            </a:graphic>
          </wp:anchor>
        </w:drawing>
      </w:r>
    </w:p>
    <w:p w:rsidR="00000000" w:rsidDel="00000000" w:rsidP="00000000" w:rsidRDefault="00000000" w:rsidRPr="00000000" w14:paraId="00000002">
      <w:pPr>
        <w:spacing w:before="240" w:line="276" w:lineRule="auto"/>
        <w:jc w:val="both"/>
        <w:rPr>
          <w:rFonts w:ascii="Arial" w:cs="Arial" w:eastAsia="Arial" w:hAnsi="Arial"/>
          <w:sz w:val="56"/>
          <w:szCs w:val="5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870267</wp:posOffset>
                </wp:positionH>
                <wp:positionV relativeFrom="paragraph">
                  <wp:posOffset>2723833</wp:posOffset>
                </wp:positionV>
                <wp:extent cx="3990975" cy="1414145"/>
                <wp:effectExtent b="0" l="0" r="0" t="0"/>
                <wp:wrapNone/>
                <wp:docPr id="2005040447" name=""/>
                <a:graphic>
                  <a:graphicData uri="http://schemas.microsoft.com/office/word/2010/wordprocessingShape">
                    <wps:wsp>
                      <wps:cNvSpPr/>
                      <wps:cNvPr id="2" name="Shape 2"/>
                      <wps:spPr>
                        <a:xfrm>
                          <a:off x="3355275" y="3077690"/>
                          <a:ext cx="3981450" cy="1404620"/>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e4e4f3"/>
                                <w:sz w:val="32"/>
                                <w:vertAlign w:val="baseline"/>
                              </w:rPr>
                              <w:t xml:space="preserve">Open Call Procedure for Ownership and Control Eligibility Assessment </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Arial" w:cs="Arial" w:eastAsia="Arial" w:hAnsi="Arial"/>
                                <w:b w:val="1"/>
                                <w:i w:val="0"/>
                                <w:smallCaps w:val="0"/>
                                <w:strike w:val="0"/>
                                <w:color w:val="e4e4f3"/>
                                <w:sz w:val="32"/>
                                <w:vertAlign w:val="baseline"/>
                              </w:rPr>
                            </w:r>
                            <w:r w:rsidDel="00000000" w:rsidR="00000000" w:rsidRPr="00000000">
                              <w:rPr>
                                <w:rFonts w:ascii="Arial" w:cs="Arial" w:eastAsia="Arial" w:hAnsi="Arial"/>
                                <w:b w:val="0"/>
                                <w:i w:val="0"/>
                                <w:smallCaps w:val="0"/>
                                <w:strike w:val="0"/>
                                <w:color w:val="e4e4f3"/>
                                <w:sz w:val="22"/>
                                <w:vertAlign w:val="baseline"/>
                              </w:rPr>
                              <w:t xml:space="preserve">Nov 2026</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870267</wp:posOffset>
                </wp:positionH>
                <wp:positionV relativeFrom="paragraph">
                  <wp:posOffset>2723833</wp:posOffset>
                </wp:positionV>
                <wp:extent cx="3990975" cy="1414145"/>
                <wp:effectExtent b="0" l="0" r="0" t="0"/>
                <wp:wrapNone/>
                <wp:docPr id="2005040447"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3990975" cy="1414145"/>
                        </a:xfrm>
                        <a:prstGeom prst="rect"/>
                        <a:ln/>
                      </pic:spPr>
                    </pic:pic>
                  </a:graphicData>
                </a:graphic>
              </wp:anchor>
            </w:drawing>
          </mc:Fallback>
        </mc:AlternateContent>
      </w:r>
    </w:p>
    <w:p w:rsidR="00000000" w:rsidDel="00000000" w:rsidP="00000000" w:rsidRDefault="00000000" w:rsidRPr="00000000" w14:paraId="00000003">
      <w:pPr>
        <w:pStyle w:val="Title"/>
        <w:spacing w:after="160" w:line="276" w:lineRule="auto"/>
        <w:jc w:val="both"/>
        <w:rPr>
          <w:b w:val="0"/>
          <w:bCs w:val="0"/>
        </w:rPr>
      </w:pPr>
      <w:r w:rsidDel="00000000" w:rsidR="00000000" w:rsidRPr="00000000">
        <w:rPr>
          <w:b w:val="0"/>
          <w:bCs w:val="0"/>
          <w:rtl w:val="0"/>
        </w:rPr>
        <w:t xml:space="preserve">Disclaimer</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40" w:line="276" w:lineRule="auto"/>
        <w:ind w:left="0" w:right="0" w:firstLine="0"/>
        <w:jc w:val="both"/>
        <w:rPr>
          <w:rFonts w:ascii="Arial" w:cs="Arial" w:eastAsia="Arial" w:hAnsi="Arial"/>
          <w:b w:val="0"/>
          <w:bCs w:val="0"/>
          <w:i w:val="0"/>
          <w:iCs w:val="0"/>
          <w:smallCaps w:val="0"/>
          <w:strike w:val="0"/>
          <w:color w:val="0c0c1e"/>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c0c1e"/>
          <w:sz w:val="20"/>
          <w:szCs w:val="20"/>
          <w:u w:val="none"/>
          <w:shd w:fill="auto" w:val="clear"/>
          <w:vertAlign w:val="baseline"/>
          <w:rtl w:val="0"/>
        </w:rPr>
        <w:t xml:space="preserve">The views and opinions expressed are those of the author(s) only and do not necessarily reflect those of the European Union or the granting authority (European Cybersecurity Industrial, Technology and Research Competence Centre). Neither the European Union nor the granting authority can be held responsible for them.</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40" w:line="276" w:lineRule="auto"/>
        <w:ind w:left="0" w:right="0" w:firstLine="0"/>
        <w:jc w:val="both"/>
        <w:rPr>
          <w:rFonts w:ascii="Arial" w:cs="Arial" w:eastAsia="Arial" w:hAnsi="Arial"/>
          <w:b w:val="0"/>
          <w:bCs w:val="0"/>
          <w:i w:val="0"/>
          <w:iCs w:val="0"/>
          <w:smallCaps w:val="0"/>
          <w:strike w:val="0"/>
          <w:color w:val="0d0f27"/>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d0f27"/>
          <w:sz w:val="20"/>
          <w:szCs w:val="20"/>
          <w:u w:val="none"/>
          <w:shd w:fill="auto" w:val="clear"/>
          <w:vertAlign w:val="baseline"/>
          <w:rtl w:val="0"/>
        </w:rPr>
        <w:br w:type="textWrapping"/>
      </w:r>
    </w:p>
    <w:p w:rsidR="00000000" w:rsidDel="00000000" w:rsidP="00000000" w:rsidRDefault="00000000" w:rsidRPr="00000000" w14:paraId="00000006">
      <w:pPr>
        <w:pStyle w:val="Title"/>
        <w:spacing w:after="160" w:line="276" w:lineRule="auto"/>
        <w:jc w:val="both"/>
        <w:rPr>
          <w:b w:val="0"/>
          <w:bCs w:val="0"/>
        </w:rPr>
      </w:pPr>
      <w:r w:rsidDel="00000000" w:rsidR="00000000" w:rsidRPr="00000000">
        <w:rPr>
          <w:b w:val="0"/>
          <w:bCs w:val="0"/>
          <w:rtl w:val="0"/>
        </w:rPr>
        <w:t xml:space="preserve">Copyright Notice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40" w:line="276" w:lineRule="auto"/>
        <w:ind w:left="0" w:right="0" w:firstLine="0"/>
        <w:jc w:val="both"/>
        <w:rPr>
          <w:rFonts w:ascii="Arial" w:cs="Arial" w:eastAsia="Arial" w:hAnsi="Arial"/>
          <w:b w:val="0"/>
          <w:bCs w:val="0"/>
          <w:i w:val="0"/>
          <w:iCs w:val="0"/>
          <w:smallCaps w:val="0"/>
          <w:strike w:val="0"/>
          <w:color w:val="0d0f27"/>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d0f27"/>
          <w:sz w:val="20"/>
          <w:szCs w:val="20"/>
          <w:u w:val="none"/>
          <w:shd w:fill="auto" w:val="clear"/>
          <w:vertAlign w:val="baseline"/>
          <w:rtl w:val="0"/>
        </w:rPr>
        <w:t xml:space="preserve">© CIPHER </w:t>
      </w:r>
    </w:p>
    <w:p w:rsidR="00000000" w:rsidDel="00000000" w:rsidP="00000000" w:rsidRDefault="00000000" w:rsidRPr="00000000" w14:paraId="00000008">
      <w:pPr>
        <w:spacing w:before="240" w:line="276" w:lineRule="auto"/>
        <w:jc w:val="both"/>
        <w:rPr>
          <w:rFonts w:ascii="Arial" w:cs="Arial" w:eastAsia="Arial" w:hAnsi="Arial"/>
          <w:color w:val="0d0f27"/>
          <w:sz w:val="20"/>
          <w:szCs w:val="20"/>
        </w:rPr>
      </w:pPr>
      <w:r w:rsidDel="00000000" w:rsidR="00000000" w:rsidRPr="00000000">
        <w:rPr>
          <w:rFonts w:ascii="Arial" w:cs="Arial" w:eastAsia="Arial" w:hAnsi="Arial"/>
          <w:color w:val="0c0c1e"/>
          <w:sz w:val="20"/>
          <w:szCs w:val="20"/>
          <w:rtl w:val="0"/>
        </w:rPr>
        <w:t xml:space="preserve">Funded by the European Union’s Digital Europe Programme under Grant Agreement No 101249732.</w:t>
      </w:r>
      <w:r w:rsidDel="00000000" w:rsidR="00000000" w:rsidRPr="00000000">
        <w:br w:type="page"/>
      </w:r>
      <w:r w:rsidDel="00000000" w:rsidR="00000000" w:rsidRPr="00000000">
        <w:rPr>
          <w:rtl w:val="0"/>
        </w:rPr>
      </w:r>
    </w:p>
    <w:p w:rsidR="00000000" w:rsidDel="00000000" w:rsidP="00000000" w:rsidRDefault="00000000" w:rsidRPr="00000000" w14:paraId="00000009">
      <w:pPr>
        <w:tabs>
          <w:tab w:val="left" w:leader="none" w:pos="6540"/>
        </w:tabs>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A">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B">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C">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D">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E">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F">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0">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1">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2">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3">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4">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5">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6">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7">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8">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9">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A">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B">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C">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D">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E">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F">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0">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1">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2">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3">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4">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5">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6">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7">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8">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29">
      <w:pPr>
        <w:tabs>
          <w:tab w:val="left" w:leader="none" w:pos="6540"/>
        </w:tabs>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w:t>
      </w:r>
      <w:r w:rsidDel="00000000" w:rsidR="00000000" w:rsidRPr="00000000">
        <w:rPr>
          <w:rtl w:val="0"/>
        </w:rPr>
      </w:r>
    </w:p>
    <w:p w:rsidR="00000000" w:rsidDel="00000000" w:rsidP="00000000" w:rsidRDefault="00000000" w:rsidRPr="00000000" w14:paraId="0000002A">
      <w:pPr>
        <w:tabs>
          <w:tab w:val="left" w:leader="none" w:pos="6540"/>
        </w:tabs>
        <w:jc w:val="both"/>
        <w:rPr>
          <w:sz w:val="20"/>
          <w:szCs w:val="20"/>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2B">
      <w:pPr>
        <w:pStyle w:val="Heading1"/>
        <w:numPr>
          <w:ilvl w:val="0"/>
          <w:numId w:val="41"/>
        </w:numPr>
        <w:ind w:left="432" w:hanging="432"/>
        <w:rPr/>
      </w:pPr>
      <w:r w:rsidDel="00000000" w:rsidR="00000000" w:rsidRPr="00000000">
        <w:rPr>
          <w:rtl w:val="0"/>
        </w:rPr>
        <w:t xml:space="preserve">Purpose </w:t>
      </w:r>
    </w:p>
    <w:p w:rsidR="00000000" w:rsidDel="00000000" w:rsidP="00000000" w:rsidRDefault="00000000" w:rsidRPr="00000000" w14:paraId="0000002C">
      <w:pPr>
        <w:tabs>
          <w:tab w:val="left" w:leader="none" w:pos="6540"/>
        </w:tabs>
        <w:jc w:val="both"/>
        <w:rPr>
          <w:sz w:val="20"/>
          <w:szCs w:val="20"/>
        </w:rPr>
      </w:pPr>
      <w:r w:rsidDel="00000000" w:rsidR="00000000" w:rsidRPr="00000000">
        <w:rPr>
          <w:sz w:val="20"/>
          <w:szCs w:val="20"/>
          <w:rtl w:val="0"/>
        </w:rPr>
        <w:t xml:space="preserve">The purpose of this procedure is to establish a transparent, consistent, and proportionate methodology for assessing the ownership and control structure of applicants participating in the CIPHER Open Calls. The procedure is designed to ensure compliance with applicable European Union requirements concerning ownership and control restrictions while safeguarding the security, strategic autonomy, integrity, and confidentiality of the activities funded under the CIPHER project. </w:t>
      </w:r>
    </w:p>
    <w:p w:rsidR="00000000" w:rsidDel="00000000" w:rsidP="00000000" w:rsidRDefault="00000000" w:rsidRPr="00000000" w14:paraId="0000002D">
      <w:pPr>
        <w:tabs>
          <w:tab w:val="left" w:leader="none" w:pos="6540"/>
        </w:tabs>
        <w:jc w:val="both"/>
        <w:rPr>
          <w:sz w:val="20"/>
          <w:szCs w:val="20"/>
        </w:rPr>
      </w:pPr>
      <w:r w:rsidDel="00000000" w:rsidR="00000000" w:rsidRPr="00000000">
        <w:rPr>
          <w:sz w:val="20"/>
          <w:szCs w:val="20"/>
          <w:rtl w:val="0"/>
        </w:rPr>
        <w:t xml:space="preserve">This procedure is based on the principles set out in the European Commission Guidance on Participation in EU Calls with Ownership and Control Restrictions, adapted to the specific context of Financial Support to Third Parties (FSTP) under CIPHER. While recognizing that Open Call beneficiaries are typically smaller organizations and innovators, the CIPHER Consortium remains responsible for ensuring that funding is not awarded to entities whose ownership or control arrangements may create unacceptable risks or conflict with the eligibility conditions governing the project. </w:t>
      </w:r>
    </w:p>
    <w:p w:rsidR="00000000" w:rsidDel="00000000" w:rsidP="00000000" w:rsidRDefault="00000000" w:rsidRPr="00000000" w14:paraId="0000002E">
      <w:pPr>
        <w:tabs>
          <w:tab w:val="left" w:leader="none" w:pos="6540"/>
        </w:tabs>
        <w:jc w:val="both"/>
        <w:rPr>
          <w:sz w:val="20"/>
          <w:szCs w:val="20"/>
        </w:rPr>
      </w:pPr>
      <w:r w:rsidDel="00000000" w:rsidR="00000000" w:rsidRPr="00000000">
        <w:rPr>
          <w:sz w:val="20"/>
          <w:szCs w:val="20"/>
          <w:rtl w:val="0"/>
        </w:rPr>
        <w:t xml:space="preserve">The assessment aims to determine whether an applicant is subject to direct or indirect control by a non-eligible country, entity, or individual, and whether such control could influence the execution, results, security, or exploitation of the activities funded through the Open Call. </w:t>
      </w:r>
    </w:p>
    <w:p w:rsidR="00000000" w:rsidDel="00000000" w:rsidP="00000000" w:rsidRDefault="00000000" w:rsidRPr="00000000" w14:paraId="0000002F">
      <w:pPr>
        <w:pStyle w:val="Heading1"/>
        <w:numPr>
          <w:ilvl w:val="0"/>
          <w:numId w:val="41"/>
        </w:numPr>
        <w:ind w:left="432" w:hanging="432"/>
        <w:rPr/>
      </w:pPr>
      <w:r w:rsidDel="00000000" w:rsidR="00000000" w:rsidRPr="00000000">
        <w:rPr>
          <w:rtl w:val="0"/>
        </w:rPr>
        <w:t xml:space="preserve">Scope </w:t>
      </w:r>
    </w:p>
    <w:p w:rsidR="00000000" w:rsidDel="00000000" w:rsidP="00000000" w:rsidRDefault="00000000" w:rsidRPr="00000000" w14:paraId="00000030">
      <w:pPr>
        <w:tabs>
          <w:tab w:val="left" w:leader="none" w:pos="6540"/>
        </w:tabs>
        <w:jc w:val="both"/>
        <w:rPr>
          <w:sz w:val="20"/>
          <w:szCs w:val="20"/>
        </w:rPr>
      </w:pPr>
      <w:r w:rsidDel="00000000" w:rsidR="00000000" w:rsidRPr="00000000">
        <w:rPr>
          <w:sz w:val="20"/>
          <w:szCs w:val="20"/>
          <w:rtl w:val="0"/>
        </w:rPr>
        <w:t xml:space="preserve">This procedure applies to all entities applying for financial support under the CIPHER Open Calls, including individual applicants, members of applicant consortia, affiliated entities, and any other organizations that may directly benefit from CIPHER funding. </w:t>
      </w:r>
    </w:p>
    <w:p w:rsidR="00000000" w:rsidDel="00000000" w:rsidP="00000000" w:rsidRDefault="00000000" w:rsidRPr="00000000" w14:paraId="00000031">
      <w:pPr>
        <w:tabs>
          <w:tab w:val="left" w:leader="none" w:pos="6540"/>
        </w:tabs>
        <w:jc w:val="both"/>
        <w:rPr>
          <w:sz w:val="20"/>
          <w:szCs w:val="20"/>
        </w:rPr>
      </w:pPr>
      <w:r w:rsidDel="00000000" w:rsidR="00000000" w:rsidRPr="00000000">
        <w:rPr>
          <w:sz w:val="20"/>
          <w:szCs w:val="20"/>
          <w:rtl w:val="0"/>
        </w:rPr>
        <w:t xml:space="preserve">The assessment shall be conducted prior to the award of financial support for the selected applicants only and may be repeated at any stage before contract signature if significant changes in ownership or governance are identified during the evaluation process. </w:t>
      </w:r>
    </w:p>
    <w:p w:rsidR="00000000" w:rsidDel="00000000" w:rsidP="00000000" w:rsidRDefault="00000000" w:rsidRPr="00000000" w14:paraId="00000032">
      <w:pPr>
        <w:tabs>
          <w:tab w:val="left" w:leader="none" w:pos="6540"/>
        </w:tabs>
        <w:jc w:val="both"/>
        <w:rPr>
          <w:sz w:val="20"/>
          <w:szCs w:val="20"/>
        </w:rPr>
      </w:pPr>
      <w:r w:rsidDel="00000000" w:rsidR="00000000" w:rsidRPr="00000000">
        <w:rPr>
          <w:sz w:val="20"/>
          <w:szCs w:val="20"/>
          <w:rtl w:val="0"/>
        </w:rPr>
        <w:t xml:space="preserve">Applicants remain responsible for informing the CIPHER Consortium of any material changes affecting their ownership or control structure throughout the grant award process and, where applicable, during the implementation of the funded action. </w:t>
      </w:r>
    </w:p>
    <w:p w:rsidR="00000000" w:rsidDel="00000000" w:rsidP="00000000" w:rsidRDefault="00000000" w:rsidRPr="00000000" w14:paraId="00000033">
      <w:pPr>
        <w:pStyle w:val="Heading1"/>
        <w:numPr>
          <w:ilvl w:val="0"/>
          <w:numId w:val="41"/>
        </w:numPr>
        <w:ind w:left="432" w:hanging="432"/>
        <w:rPr/>
      </w:pPr>
      <w:r w:rsidDel="00000000" w:rsidR="00000000" w:rsidRPr="00000000">
        <w:rPr>
          <w:rtl w:val="0"/>
        </w:rPr>
        <w:t xml:space="preserve">Definitions </w:t>
      </w:r>
    </w:p>
    <w:p w:rsidR="00000000" w:rsidDel="00000000" w:rsidP="00000000" w:rsidRDefault="00000000" w:rsidRPr="00000000" w14:paraId="00000034">
      <w:pPr>
        <w:tabs>
          <w:tab w:val="left" w:leader="none" w:pos="6540"/>
        </w:tabs>
        <w:jc w:val="both"/>
        <w:rPr>
          <w:b w:val="1"/>
          <w:bCs w:val="1"/>
          <w:sz w:val="20"/>
          <w:szCs w:val="20"/>
        </w:rPr>
      </w:pPr>
      <w:r w:rsidDel="00000000" w:rsidR="00000000" w:rsidRPr="00000000">
        <w:rPr>
          <w:b w:val="1"/>
          <w:bCs w:val="1"/>
          <w:sz w:val="20"/>
          <w:szCs w:val="20"/>
          <w:rtl w:val="0"/>
        </w:rPr>
        <w:t xml:space="preserve">Ownership </w:t>
      </w:r>
    </w:p>
    <w:p w:rsidR="00000000" w:rsidDel="00000000" w:rsidP="00000000" w:rsidRDefault="00000000" w:rsidRPr="00000000" w14:paraId="00000035">
      <w:pPr>
        <w:tabs>
          <w:tab w:val="left" w:leader="none" w:pos="6540"/>
        </w:tabs>
        <w:jc w:val="both"/>
        <w:rPr>
          <w:sz w:val="20"/>
          <w:szCs w:val="20"/>
        </w:rPr>
      </w:pPr>
      <w:r w:rsidDel="00000000" w:rsidR="00000000" w:rsidRPr="00000000">
        <w:rPr>
          <w:sz w:val="20"/>
          <w:szCs w:val="20"/>
          <w:rtl w:val="0"/>
        </w:rPr>
        <w:t xml:space="preserve">Ownership refers to the legal possession of an entity through shares, membership interests, equities, participation rights, or other instruments that confer economic rights or influence over the organization. </w:t>
      </w:r>
    </w:p>
    <w:p w:rsidR="00000000" w:rsidDel="00000000" w:rsidP="00000000" w:rsidRDefault="00000000" w:rsidRPr="00000000" w14:paraId="00000036">
      <w:pPr>
        <w:tabs>
          <w:tab w:val="left" w:leader="none" w:pos="6540"/>
        </w:tabs>
        <w:jc w:val="both"/>
        <w:rPr>
          <w:sz w:val="20"/>
          <w:szCs w:val="20"/>
        </w:rPr>
      </w:pPr>
      <w:r w:rsidDel="00000000" w:rsidR="00000000" w:rsidRPr="00000000">
        <w:rPr>
          <w:sz w:val="20"/>
          <w:szCs w:val="20"/>
          <w:rtl w:val="0"/>
        </w:rPr>
        <w:t xml:space="preserve">Ownership may be direct, where shareholders own interests in the applicant itself, or indirect, where ownership is exercised through one or more intermediate companies, holding structures, trusts, investment vehicles, or similar arrangements. </w:t>
      </w:r>
    </w:p>
    <w:p w:rsidR="00000000" w:rsidDel="00000000" w:rsidP="00000000" w:rsidRDefault="00000000" w:rsidRPr="00000000" w14:paraId="00000037">
      <w:pPr>
        <w:tabs>
          <w:tab w:val="left" w:leader="none" w:pos="6540"/>
        </w:tabs>
        <w:jc w:val="both"/>
        <w:rPr>
          <w:b w:val="1"/>
          <w:bCs w:val="1"/>
          <w:sz w:val="20"/>
          <w:szCs w:val="20"/>
        </w:rPr>
      </w:pPr>
      <w:r w:rsidDel="00000000" w:rsidR="00000000" w:rsidRPr="00000000">
        <w:rPr>
          <w:b w:val="1"/>
          <w:bCs w:val="1"/>
          <w:sz w:val="20"/>
          <w:szCs w:val="20"/>
          <w:rtl w:val="0"/>
        </w:rPr>
        <w:t xml:space="preserve">Control </w:t>
      </w:r>
    </w:p>
    <w:p w:rsidR="00000000" w:rsidDel="00000000" w:rsidP="00000000" w:rsidRDefault="00000000" w:rsidRPr="00000000" w14:paraId="00000038">
      <w:pPr>
        <w:tabs>
          <w:tab w:val="left" w:leader="none" w:pos="6540"/>
        </w:tabs>
        <w:jc w:val="both"/>
        <w:rPr>
          <w:sz w:val="20"/>
          <w:szCs w:val="20"/>
        </w:rPr>
      </w:pPr>
      <w:r w:rsidDel="00000000" w:rsidR="00000000" w:rsidRPr="00000000">
        <w:rPr>
          <w:sz w:val="20"/>
          <w:szCs w:val="20"/>
          <w:rtl w:val="0"/>
        </w:rPr>
        <w:t xml:space="preserve">Control refers to the ability of a natural or legal person to exercise decisive influence over an entity's strategic decisions, either directly or indirectly. </w:t>
      </w:r>
    </w:p>
    <w:p w:rsidR="00000000" w:rsidDel="00000000" w:rsidP="00000000" w:rsidRDefault="00000000" w:rsidRPr="00000000" w14:paraId="00000039">
      <w:pPr>
        <w:tabs>
          <w:tab w:val="left" w:leader="none" w:pos="6540"/>
        </w:tabs>
        <w:jc w:val="both"/>
        <w:rPr>
          <w:sz w:val="20"/>
          <w:szCs w:val="20"/>
        </w:rPr>
      </w:pPr>
      <w:r w:rsidDel="00000000" w:rsidR="00000000" w:rsidRPr="00000000">
        <w:rPr>
          <w:sz w:val="20"/>
          <w:szCs w:val="20"/>
          <w:rtl w:val="0"/>
        </w:rPr>
        <w:t xml:space="preserve">Control may exist regardless of ownership percentages and may arise through legal, contractual, financial, or governance arrangements. </w:t>
      </w:r>
    </w:p>
    <w:p w:rsidR="00000000" w:rsidDel="00000000" w:rsidP="00000000" w:rsidRDefault="00000000" w:rsidRPr="00000000" w14:paraId="0000003A">
      <w:pPr>
        <w:tabs>
          <w:tab w:val="left" w:leader="none" w:pos="6540"/>
        </w:tabs>
        <w:jc w:val="both"/>
        <w:rPr>
          <w:sz w:val="20"/>
          <w:szCs w:val="20"/>
        </w:rPr>
      </w:pPr>
      <w:r w:rsidDel="00000000" w:rsidR="00000000" w:rsidRPr="00000000">
        <w:rPr>
          <w:sz w:val="20"/>
          <w:szCs w:val="20"/>
          <w:rtl w:val="0"/>
        </w:rPr>
        <w:t xml:space="preserve">Indicators of control may include: </w:t>
      </w:r>
    </w:p>
    <w:p w:rsidR="00000000" w:rsidDel="00000000" w:rsidP="00000000" w:rsidRDefault="00000000" w:rsidRPr="00000000" w14:paraId="0000003B">
      <w:pPr>
        <w:numPr>
          <w:ilvl w:val="0"/>
          <w:numId w:val="62"/>
        </w:numPr>
        <w:tabs>
          <w:tab w:val="left" w:leader="none" w:pos="6540"/>
        </w:tabs>
        <w:ind w:left="720" w:hanging="360"/>
        <w:jc w:val="both"/>
        <w:rPr/>
      </w:pPr>
      <w:r w:rsidDel="00000000" w:rsidR="00000000" w:rsidRPr="00000000">
        <w:rPr>
          <w:sz w:val="20"/>
          <w:szCs w:val="20"/>
          <w:rtl w:val="0"/>
        </w:rPr>
        <w:t xml:space="preserve">The right to appoint or remove members of management bodies; </w:t>
      </w:r>
    </w:p>
    <w:p w:rsidR="00000000" w:rsidDel="00000000" w:rsidP="00000000" w:rsidRDefault="00000000" w:rsidRPr="00000000" w14:paraId="0000003C">
      <w:pPr>
        <w:numPr>
          <w:ilvl w:val="0"/>
          <w:numId w:val="70"/>
        </w:numPr>
        <w:tabs>
          <w:tab w:val="left" w:leader="none" w:pos="6540"/>
        </w:tabs>
        <w:ind w:left="720" w:hanging="360"/>
        <w:jc w:val="both"/>
        <w:rPr/>
      </w:pPr>
      <w:r w:rsidDel="00000000" w:rsidR="00000000" w:rsidRPr="00000000">
        <w:rPr>
          <w:sz w:val="20"/>
          <w:szCs w:val="20"/>
          <w:rtl w:val="0"/>
        </w:rPr>
        <w:t xml:space="preserve">The ability to determine strategic business decisions; </w:t>
      </w:r>
    </w:p>
    <w:p w:rsidR="00000000" w:rsidDel="00000000" w:rsidP="00000000" w:rsidRDefault="00000000" w:rsidRPr="00000000" w14:paraId="0000003D">
      <w:pPr>
        <w:numPr>
          <w:ilvl w:val="0"/>
          <w:numId w:val="71"/>
        </w:numPr>
        <w:tabs>
          <w:tab w:val="left" w:leader="none" w:pos="6540"/>
        </w:tabs>
        <w:ind w:left="720" w:hanging="360"/>
        <w:jc w:val="both"/>
        <w:rPr/>
      </w:pPr>
      <w:r w:rsidDel="00000000" w:rsidR="00000000" w:rsidRPr="00000000">
        <w:rPr>
          <w:sz w:val="20"/>
          <w:szCs w:val="20"/>
          <w:rtl w:val="0"/>
        </w:rPr>
        <w:t xml:space="preserve">Special voting rights or veto powers; </w:t>
      </w:r>
    </w:p>
    <w:p w:rsidR="00000000" w:rsidDel="00000000" w:rsidP="00000000" w:rsidRDefault="00000000" w:rsidRPr="00000000" w14:paraId="0000003E">
      <w:pPr>
        <w:numPr>
          <w:ilvl w:val="0"/>
          <w:numId w:val="1"/>
        </w:numPr>
        <w:tabs>
          <w:tab w:val="left" w:leader="none" w:pos="6540"/>
        </w:tabs>
        <w:ind w:left="720" w:hanging="360"/>
        <w:jc w:val="both"/>
        <w:rPr/>
      </w:pPr>
      <w:r w:rsidDel="00000000" w:rsidR="00000000" w:rsidRPr="00000000">
        <w:rPr>
          <w:sz w:val="20"/>
          <w:szCs w:val="20"/>
          <w:rtl w:val="0"/>
        </w:rPr>
        <w:t xml:space="preserve">Contractual arrangements granting influence over corporate decisions; </w:t>
      </w:r>
    </w:p>
    <w:p w:rsidR="00000000" w:rsidDel="00000000" w:rsidP="00000000" w:rsidRDefault="00000000" w:rsidRPr="00000000" w14:paraId="0000003F">
      <w:pPr>
        <w:numPr>
          <w:ilvl w:val="0"/>
          <w:numId w:val="2"/>
        </w:numPr>
        <w:tabs>
          <w:tab w:val="left" w:leader="none" w:pos="6540"/>
        </w:tabs>
        <w:ind w:left="720" w:hanging="360"/>
        <w:jc w:val="both"/>
        <w:rPr/>
      </w:pPr>
      <w:r w:rsidDel="00000000" w:rsidR="00000000" w:rsidRPr="00000000">
        <w:rPr>
          <w:sz w:val="20"/>
          <w:szCs w:val="20"/>
          <w:rtl w:val="0"/>
        </w:rPr>
        <w:t xml:space="preserve">Financial relationships creating dependency or influence; </w:t>
      </w:r>
    </w:p>
    <w:p w:rsidR="00000000" w:rsidDel="00000000" w:rsidP="00000000" w:rsidRDefault="00000000" w:rsidRPr="00000000" w14:paraId="00000040">
      <w:pPr>
        <w:numPr>
          <w:ilvl w:val="0"/>
          <w:numId w:val="3"/>
        </w:numPr>
        <w:tabs>
          <w:tab w:val="left" w:leader="none" w:pos="6540"/>
        </w:tabs>
        <w:ind w:left="720" w:hanging="360"/>
        <w:jc w:val="both"/>
        <w:rPr/>
      </w:pPr>
      <w:r w:rsidDel="00000000" w:rsidR="00000000" w:rsidRPr="00000000">
        <w:rPr>
          <w:sz w:val="20"/>
          <w:szCs w:val="20"/>
          <w:rtl w:val="0"/>
        </w:rPr>
        <w:t xml:space="preserve">Any other mechanism enabling a third party to exercise decisive influence. </w:t>
      </w:r>
    </w:p>
    <w:p w:rsidR="00000000" w:rsidDel="00000000" w:rsidP="00000000" w:rsidRDefault="00000000" w:rsidRPr="00000000" w14:paraId="00000041">
      <w:pPr>
        <w:tabs>
          <w:tab w:val="left" w:leader="none" w:pos="6540"/>
        </w:tabs>
        <w:jc w:val="both"/>
        <w:rPr>
          <w:b w:val="1"/>
          <w:bCs w:val="1"/>
          <w:sz w:val="20"/>
          <w:szCs w:val="20"/>
        </w:rPr>
      </w:pPr>
      <w:r w:rsidDel="00000000" w:rsidR="00000000" w:rsidRPr="00000000">
        <w:rPr>
          <w:b w:val="1"/>
          <w:bCs w:val="1"/>
          <w:sz w:val="20"/>
          <w:szCs w:val="20"/>
          <w:rtl w:val="0"/>
        </w:rPr>
        <w:t xml:space="preserve">Ultimate Beneficial Owner (UBO) </w:t>
      </w:r>
    </w:p>
    <w:p w:rsidR="00000000" w:rsidDel="00000000" w:rsidP="00000000" w:rsidRDefault="00000000" w:rsidRPr="00000000" w14:paraId="00000042">
      <w:pPr>
        <w:tabs>
          <w:tab w:val="left" w:leader="none" w:pos="6540"/>
        </w:tabs>
        <w:jc w:val="both"/>
        <w:rPr>
          <w:sz w:val="20"/>
          <w:szCs w:val="20"/>
        </w:rPr>
      </w:pPr>
      <w:r w:rsidDel="00000000" w:rsidR="00000000" w:rsidRPr="00000000">
        <w:rPr>
          <w:sz w:val="20"/>
          <w:szCs w:val="20"/>
          <w:rtl w:val="0"/>
        </w:rPr>
        <w:t xml:space="preserve">An Ultimate Beneficial Owner is the natural person who ultimately owns or controls an entity through direct or indirect ownership or through other means of effective control. </w:t>
      </w:r>
    </w:p>
    <w:p w:rsidR="00000000" w:rsidDel="00000000" w:rsidP="00000000" w:rsidRDefault="00000000" w:rsidRPr="00000000" w14:paraId="00000043">
      <w:pPr>
        <w:tabs>
          <w:tab w:val="left" w:leader="none" w:pos="6540"/>
        </w:tabs>
        <w:jc w:val="both"/>
        <w:rPr>
          <w:b w:val="1"/>
          <w:bCs w:val="1"/>
          <w:sz w:val="20"/>
          <w:szCs w:val="20"/>
        </w:rPr>
      </w:pPr>
      <w:r w:rsidDel="00000000" w:rsidR="00000000" w:rsidRPr="00000000">
        <w:rPr>
          <w:b w:val="1"/>
          <w:bCs w:val="1"/>
          <w:sz w:val="20"/>
          <w:szCs w:val="20"/>
          <w:rtl w:val="0"/>
        </w:rPr>
        <w:t xml:space="preserve">Non-Eligible Entity </w:t>
      </w:r>
    </w:p>
    <w:p w:rsidR="00000000" w:rsidDel="00000000" w:rsidP="00000000" w:rsidRDefault="00000000" w:rsidRPr="00000000" w14:paraId="00000044">
      <w:pPr>
        <w:tabs>
          <w:tab w:val="left" w:leader="none" w:pos="6540"/>
        </w:tabs>
        <w:jc w:val="both"/>
        <w:rPr>
          <w:sz w:val="20"/>
          <w:szCs w:val="20"/>
        </w:rPr>
      </w:pPr>
      <w:r w:rsidDel="00000000" w:rsidR="00000000" w:rsidRPr="00000000">
        <w:rPr>
          <w:sz w:val="20"/>
          <w:szCs w:val="20"/>
          <w:rtl w:val="0"/>
        </w:rPr>
        <w:t xml:space="preserve">For the purposes of this procedure, a non-eligible entity means any organization, individual, or controlling structure originating from or linked to a country, jurisdiction, or category of participant that is not eligible under the applicable funding conditions governing the CIPHER Open Call. </w:t>
      </w:r>
    </w:p>
    <w:p w:rsidR="00000000" w:rsidDel="00000000" w:rsidP="00000000" w:rsidRDefault="00000000" w:rsidRPr="00000000" w14:paraId="00000045">
      <w:pPr>
        <w:pStyle w:val="Heading1"/>
        <w:numPr>
          <w:ilvl w:val="0"/>
          <w:numId w:val="41"/>
        </w:numPr>
        <w:ind w:left="432" w:hanging="432"/>
        <w:rPr/>
      </w:pPr>
      <w:r w:rsidDel="00000000" w:rsidR="00000000" w:rsidRPr="00000000">
        <w:rPr>
          <w:rtl w:val="0"/>
        </w:rPr>
        <w:t xml:space="preserve">Principles of the Assessment </w:t>
      </w:r>
    </w:p>
    <w:p w:rsidR="00000000" w:rsidDel="00000000" w:rsidP="00000000" w:rsidRDefault="00000000" w:rsidRPr="00000000" w14:paraId="00000046">
      <w:pPr>
        <w:tabs>
          <w:tab w:val="left" w:leader="none" w:pos="6540"/>
        </w:tabs>
        <w:jc w:val="both"/>
        <w:rPr>
          <w:sz w:val="20"/>
          <w:szCs w:val="20"/>
        </w:rPr>
      </w:pPr>
      <w:r w:rsidDel="00000000" w:rsidR="00000000" w:rsidRPr="00000000">
        <w:rPr>
          <w:sz w:val="20"/>
          <w:szCs w:val="20"/>
          <w:rtl w:val="0"/>
        </w:rPr>
        <w:t xml:space="preserve">The ownership and control assessment shall be guided by the following principles. </w:t>
      </w:r>
    </w:p>
    <w:p w:rsidR="00000000" w:rsidDel="00000000" w:rsidP="00000000" w:rsidRDefault="00000000" w:rsidRPr="00000000" w14:paraId="00000047">
      <w:pPr>
        <w:tabs>
          <w:tab w:val="left" w:leader="none" w:pos="6540"/>
        </w:tabs>
        <w:jc w:val="both"/>
        <w:rPr>
          <w:b w:val="1"/>
          <w:bCs w:val="1"/>
          <w:sz w:val="20"/>
          <w:szCs w:val="20"/>
        </w:rPr>
      </w:pPr>
      <w:r w:rsidDel="00000000" w:rsidR="00000000" w:rsidRPr="00000000">
        <w:rPr>
          <w:b w:val="1"/>
          <w:bCs w:val="1"/>
          <w:sz w:val="20"/>
          <w:szCs w:val="20"/>
          <w:rtl w:val="0"/>
        </w:rPr>
        <w:t xml:space="preserve">Proportionality </w:t>
      </w:r>
    </w:p>
    <w:p w:rsidR="00000000" w:rsidDel="00000000" w:rsidP="00000000" w:rsidRDefault="00000000" w:rsidRPr="00000000" w14:paraId="00000048">
      <w:pPr>
        <w:tabs>
          <w:tab w:val="left" w:leader="none" w:pos="6540"/>
        </w:tabs>
        <w:jc w:val="both"/>
        <w:rPr>
          <w:sz w:val="20"/>
          <w:szCs w:val="20"/>
        </w:rPr>
      </w:pPr>
      <w:r w:rsidDel="00000000" w:rsidR="00000000" w:rsidRPr="00000000">
        <w:rPr>
          <w:sz w:val="20"/>
          <w:szCs w:val="20"/>
          <w:rtl w:val="0"/>
        </w:rPr>
        <w:t xml:space="preserve">The assessment process should remain proportionate to the nature and scale of the Open Call. Applicants shall not be subject to unnecessary administrative burden, and only information relevant to establishing ownership and control shall be requested. </w:t>
      </w:r>
    </w:p>
    <w:p w:rsidR="00000000" w:rsidDel="00000000" w:rsidP="00000000" w:rsidRDefault="00000000" w:rsidRPr="00000000" w14:paraId="00000049">
      <w:pPr>
        <w:tabs>
          <w:tab w:val="left" w:leader="none" w:pos="6540"/>
        </w:tabs>
        <w:jc w:val="both"/>
        <w:rPr>
          <w:b w:val="1"/>
          <w:bCs w:val="1"/>
          <w:sz w:val="20"/>
          <w:szCs w:val="20"/>
        </w:rPr>
      </w:pPr>
      <w:r w:rsidDel="00000000" w:rsidR="00000000" w:rsidRPr="00000000">
        <w:rPr>
          <w:b w:val="1"/>
          <w:bCs w:val="1"/>
          <w:sz w:val="20"/>
          <w:szCs w:val="20"/>
          <w:rtl w:val="0"/>
        </w:rPr>
        <w:t xml:space="preserve">Transparency </w:t>
      </w:r>
    </w:p>
    <w:p w:rsidR="00000000" w:rsidDel="00000000" w:rsidP="00000000" w:rsidRDefault="00000000" w:rsidRPr="00000000" w14:paraId="0000004A">
      <w:pPr>
        <w:tabs>
          <w:tab w:val="left" w:leader="none" w:pos="6540"/>
        </w:tabs>
        <w:jc w:val="both"/>
        <w:rPr>
          <w:sz w:val="20"/>
          <w:szCs w:val="20"/>
        </w:rPr>
      </w:pPr>
      <w:r w:rsidDel="00000000" w:rsidR="00000000" w:rsidRPr="00000000">
        <w:rPr>
          <w:sz w:val="20"/>
          <w:szCs w:val="20"/>
          <w:rtl w:val="0"/>
        </w:rPr>
        <w:t xml:space="preserve">All applicants shall be informed in advance of the information required and the criteria used during the assessment. Decisions shall be documented and based on objective evidence. </w:t>
      </w:r>
    </w:p>
    <w:p w:rsidR="00000000" w:rsidDel="00000000" w:rsidP="00000000" w:rsidRDefault="00000000" w:rsidRPr="00000000" w14:paraId="0000004B">
      <w:pPr>
        <w:tabs>
          <w:tab w:val="left" w:leader="none" w:pos="6540"/>
        </w:tabs>
        <w:jc w:val="both"/>
        <w:rPr>
          <w:b w:val="1"/>
          <w:bCs w:val="1"/>
          <w:sz w:val="20"/>
          <w:szCs w:val="20"/>
        </w:rPr>
      </w:pPr>
      <w:r w:rsidDel="00000000" w:rsidR="00000000" w:rsidRPr="00000000">
        <w:rPr>
          <w:b w:val="1"/>
          <w:bCs w:val="1"/>
          <w:sz w:val="20"/>
          <w:szCs w:val="20"/>
          <w:rtl w:val="0"/>
        </w:rPr>
        <w:t xml:space="preserve">Risk-Based Approach </w:t>
      </w:r>
    </w:p>
    <w:p w:rsidR="00000000" w:rsidDel="00000000" w:rsidP="00000000" w:rsidRDefault="00000000" w:rsidRPr="00000000" w14:paraId="0000004C">
      <w:pPr>
        <w:tabs>
          <w:tab w:val="left" w:leader="none" w:pos="6540"/>
        </w:tabs>
        <w:jc w:val="both"/>
        <w:rPr>
          <w:sz w:val="20"/>
          <w:szCs w:val="20"/>
        </w:rPr>
      </w:pPr>
      <w:r w:rsidDel="00000000" w:rsidR="00000000" w:rsidRPr="00000000">
        <w:rPr>
          <w:sz w:val="20"/>
          <w:szCs w:val="20"/>
          <w:rtl w:val="0"/>
        </w:rPr>
        <w:t xml:space="preserve">The depth of the assessment shall be determined by the complexity of the ownership structure and the potential risks identified during the review process. Straightforward ownership structures may require limited verification, whereas more complex cases may require additional scrutiny. </w:t>
      </w:r>
    </w:p>
    <w:p w:rsidR="00000000" w:rsidDel="00000000" w:rsidP="00000000" w:rsidRDefault="00000000" w:rsidRPr="00000000" w14:paraId="0000004D">
      <w:pPr>
        <w:tabs>
          <w:tab w:val="left" w:leader="none" w:pos="6540"/>
        </w:tabs>
        <w:jc w:val="both"/>
        <w:rPr>
          <w:b w:val="1"/>
          <w:bCs w:val="1"/>
          <w:sz w:val="20"/>
          <w:szCs w:val="20"/>
        </w:rPr>
      </w:pPr>
      <w:r w:rsidDel="00000000" w:rsidR="00000000" w:rsidRPr="00000000">
        <w:rPr>
          <w:b w:val="1"/>
          <w:bCs w:val="1"/>
          <w:sz w:val="20"/>
          <w:szCs w:val="20"/>
          <w:rtl w:val="0"/>
        </w:rPr>
        <w:t xml:space="preserve">Equal Treatment </w:t>
      </w:r>
    </w:p>
    <w:p w:rsidR="00000000" w:rsidDel="00000000" w:rsidP="00000000" w:rsidRDefault="00000000" w:rsidRPr="00000000" w14:paraId="0000004E">
      <w:pPr>
        <w:tabs>
          <w:tab w:val="left" w:leader="none" w:pos="6540"/>
        </w:tabs>
        <w:jc w:val="both"/>
        <w:rPr>
          <w:sz w:val="20"/>
          <w:szCs w:val="20"/>
        </w:rPr>
      </w:pPr>
      <w:r w:rsidDel="00000000" w:rsidR="00000000" w:rsidRPr="00000000">
        <w:rPr>
          <w:sz w:val="20"/>
          <w:szCs w:val="20"/>
          <w:rtl w:val="0"/>
        </w:rPr>
        <w:t xml:space="preserve">All applicants shall be assessed according to the same methodology and eligibility criteria. </w:t>
      </w:r>
    </w:p>
    <w:p w:rsidR="00000000" w:rsidDel="00000000" w:rsidP="00000000" w:rsidRDefault="00000000" w:rsidRPr="00000000" w14:paraId="0000004F">
      <w:pPr>
        <w:tabs>
          <w:tab w:val="left" w:leader="none" w:pos="6540"/>
        </w:tabs>
        <w:jc w:val="both"/>
        <w:rPr>
          <w:b w:val="1"/>
          <w:bCs w:val="1"/>
          <w:sz w:val="20"/>
          <w:szCs w:val="20"/>
        </w:rPr>
      </w:pPr>
      <w:r w:rsidDel="00000000" w:rsidR="00000000" w:rsidRPr="00000000">
        <w:rPr>
          <w:b w:val="1"/>
          <w:bCs w:val="1"/>
          <w:sz w:val="20"/>
          <w:szCs w:val="20"/>
          <w:rtl w:val="0"/>
        </w:rPr>
        <w:t xml:space="preserve">Traceability and Auditability </w:t>
      </w:r>
    </w:p>
    <w:p w:rsidR="00000000" w:rsidDel="00000000" w:rsidP="00000000" w:rsidRDefault="00000000" w:rsidRPr="00000000" w14:paraId="00000050">
      <w:pPr>
        <w:tabs>
          <w:tab w:val="left" w:leader="none" w:pos="6540"/>
        </w:tabs>
        <w:jc w:val="both"/>
        <w:rPr>
          <w:sz w:val="20"/>
          <w:szCs w:val="20"/>
        </w:rPr>
      </w:pPr>
      <w:r w:rsidDel="00000000" w:rsidR="00000000" w:rsidRPr="00000000">
        <w:rPr>
          <w:sz w:val="20"/>
          <w:szCs w:val="20"/>
          <w:rtl w:val="0"/>
        </w:rPr>
        <w:t xml:space="preserve">The assessment process shall be documented in a manner that enables subsequent review by internal auditors, external auditors, funding authorities, or the European Commission where required. </w:t>
      </w:r>
    </w:p>
    <w:p w:rsidR="00000000" w:rsidDel="00000000" w:rsidP="00000000" w:rsidRDefault="00000000" w:rsidRPr="00000000" w14:paraId="00000051">
      <w:pPr>
        <w:pStyle w:val="Heading1"/>
        <w:numPr>
          <w:ilvl w:val="0"/>
          <w:numId w:val="41"/>
        </w:numPr>
        <w:ind w:left="432" w:hanging="432"/>
        <w:rPr/>
      </w:pPr>
      <w:r w:rsidDel="00000000" w:rsidR="00000000" w:rsidRPr="00000000">
        <w:rPr>
          <w:rtl w:val="0"/>
        </w:rPr>
        <w:t xml:space="preserve">Assessment Process </w:t>
      </w:r>
    </w:p>
    <w:p w:rsidR="00000000" w:rsidDel="00000000" w:rsidP="00000000" w:rsidRDefault="00000000" w:rsidRPr="00000000" w14:paraId="00000052">
      <w:pPr>
        <w:pStyle w:val="Heading2"/>
        <w:ind w:left="576" w:hanging="576"/>
        <w:rPr/>
      </w:pPr>
      <w:r w:rsidDel="00000000" w:rsidR="00000000" w:rsidRPr="00000000">
        <w:rPr>
          <w:rtl w:val="0"/>
        </w:rPr>
        <w:t xml:space="preserve">Step 1 - Ownership and Control Declaration </w:t>
      </w:r>
    </w:p>
    <w:p w:rsidR="00000000" w:rsidDel="00000000" w:rsidP="00000000" w:rsidRDefault="00000000" w:rsidRPr="00000000" w14:paraId="00000053">
      <w:pPr>
        <w:tabs>
          <w:tab w:val="left" w:leader="none" w:pos="6540"/>
        </w:tabs>
        <w:jc w:val="both"/>
        <w:rPr>
          <w:sz w:val="20"/>
          <w:szCs w:val="20"/>
        </w:rPr>
      </w:pPr>
      <w:r w:rsidDel="00000000" w:rsidR="00000000" w:rsidRPr="00000000">
        <w:rPr>
          <w:sz w:val="20"/>
          <w:szCs w:val="20"/>
          <w:rtl w:val="0"/>
        </w:rPr>
        <w:t xml:space="preserve">As part of the application package, each applicant shall submit a completed Ownership and Control Declaration. </w:t>
      </w:r>
    </w:p>
    <w:p w:rsidR="00000000" w:rsidDel="00000000" w:rsidP="00000000" w:rsidRDefault="00000000" w:rsidRPr="00000000" w14:paraId="00000054">
      <w:pPr>
        <w:tabs>
          <w:tab w:val="left" w:leader="none" w:pos="6540"/>
        </w:tabs>
        <w:jc w:val="both"/>
        <w:rPr>
          <w:sz w:val="20"/>
          <w:szCs w:val="20"/>
        </w:rPr>
      </w:pPr>
      <w:r w:rsidDel="00000000" w:rsidR="00000000" w:rsidRPr="00000000">
        <w:rPr>
          <w:sz w:val="20"/>
          <w:szCs w:val="20"/>
          <w:rtl w:val="0"/>
        </w:rPr>
        <w:t xml:space="preserve">The declaration shall provide sufficient information to enable the Consortium to understand the ownership and governance structure of the applicant and shall include, at a minimum: </w:t>
      </w:r>
    </w:p>
    <w:p w:rsidR="00000000" w:rsidDel="00000000" w:rsidP="00000000" w:rsidRDefault="00000000" w:rsidRPr="00000000" w14:paraId="00000055">
      <w:pPr>
        <w:numPr>
          <w:ilvl w:val="0"/>
          <w:numId w:val="4"/>
        </w:numPr>
        <w:tabs>
          <w:tab w:val="left" w:leader="none" w:pos="6540"/>
        </w:tabs>
        <w:ind w:left="720" w:hanging="360"/>
        <w:jc w:val="both"/>
        <w:rPr/>
      </w:pPr>
      <w:r w:rsidDel="00000000" w:rsidR="00000000" w:rsidRPr="00000000">
        <w:rPr>
          <w:sz w:val="20"/>
          <w:szCs w:val="20"/>
          <w:rtl w:val="0"/>
        </w:rPr>
        <w:t xml:space="preserve">Legal name and registration information; </w:t>
      </w:r>
    </w:p>
    <w:p w:rsidR="00000000" w:rsidDel="00000000" w:rsidP="00000000" w:rsidRDefault="00000000" w:rsidRPr="00000000" w14:paraId="00000056">
      <w:pPr>
        <w:numPr>
          <w:ilvl w:val="0"/>
          <w:numId w:val="5"/>
        </w:numPr>
        <w:tabs>
          <w:tab w:val="left" w:leader="none" w:pos="6540"/>
        </w:tabs>
        <w:ind w:left="720" w:hanging="360"/>
        <w:jc w:val="both"/>
        <w:rPr/>
      </w:pPr>
      <w:r w:rsidDel="00000000" w:rsidR="00000000" w:rsidRPr="00000000">
        <w:rPr>
          <w:sz w:val="20"/>
          <w:szCs w:val="20"/>
          <w:rtl w:val="0"/>
        </w:rPr>
        <w:t xml:space="preserve">Country of establishment; </w:t>
      </w:r>
    </w:p>
    <w:p w:rsidR="00000000" w:rsidDel="00000000" w:rsidP="00000000" w:rsidRDefault="00000000" w:rsidRPr="00000000" w14:paraId="00000057">
      <w:pPr>
        <w:numPr>
          <w:ilvl w:val="0"/>
          <w:numId w:val="6"/>
        </w:numPr>
        <w:tabs>
          <w:tab w:val="left" w:leader="none" w:pos="6540"/>
        </w:tabs>
        <w:ind w:left="720" w:hanging="360"/>
        <w:jc w:val="both"/>
        <w:rPr/>
      </w:pPr>
      <w:r w:rsidDel="00000000" w:rsidR="00000000" w:rsidRPr="00000000">
        <w:rPr>
          <w:sz w:val="20"/>
          <w:szCs w:val="20"/>
          <w:rtl w:val="0"/>
        </w:rPr>
        <w:t xml:space="preserve">Description of ownership structure; </w:t>
      </w:r>
    </w:p>
    <w:p w:rsidR="00000000" w:rsidDel="00000000" w:rsidP="00000000" w:rsidRDefault="00000000" w:rsidRPr="00000000" w14:paraId="00000058">
      <w:pPr>
        <w:numPr>
          <w:ilvl w:val="0"/>
          <w:numId w:val="7"/>
        </w:numPr>
        <w:tabs>
          <w:tab w:val="left" w:leader="none" w:pos="6540"/>
        </w:tabs>
        <w:ind w:left="720" w:hanging="360"/>
        <w:jc w:val="both"/>
        <w:rPr/>
      </w:pPr>
      <w:r w:rsidDel="00000000" w:rsidR="00000000" w:rsidRPr="00000000">
        <w:rPr>
          <w:sz w:val="20"/>
          <w:szCs w:val="20"/>
          <w:rtl w:val="0"/>
        </w:rPr>
        <w:t xml:space="preserve">Identification of shareholders or owners holding significant interests; </w:t>
      </w:r>
    </w:p>
    <w:p w:rsidR="00000000" w:rsidDel="00000000" w:rsidP="00000000" w:rsidRDefault="00000000" w:rsidRPr="00000000" w14:paraId="00000059">
      <w:pPr>
        <w:numPr>
          <w:ilvl w:val="0"/>
          <w:numId w:val="8"/>
        </w:numPr>
        <w:tabs>
          <w:tab w:val="left" w:leader="none" w:pos="6540"/>
        </w:tabs>
        <w:ind w:left="720" w:hanging="360"/>
        <w:jc w:val="both"/>
        <w:rPr/>
      </w:pPr>
      <w:r w:rsidDel="00000000" w:rsidR="00000000" w:rsidRPr="00000000">
        <w:rPr>
          <w:sz w:val="20"/>
          <w:szCs w:val="20"/>
          <w:rtl w:val="0"/>
        </w:rPr>
        <w:t xml:space="preserve">Identification of parent companies and affiliated organizations; </w:t>
      </w:r>
    </w:p>
    <w:p w:rsidR="00000000" w:rsidDel="00000000" w:rsidP="00000000" w:rsidRDefault="00000000" w:rsidRPr="00000000" w14:paraId="0000005A">
      <w:pPr>
        <w:numPr>
          <w:ilvl w:val="0"/>
          <w:numId w:val="9"/>
        </w:numPr>
        <w:tabs>
          <w:tab w:val="left" w:leader="none" w:pos="6540"/>
        </w:tabs>
        <w:ind w:left="720" w:hanging="360"/>
        <w:jc w:val="both"/>
        <w:rPr/>
      </w:pPr>
      <w:r w:rsidDel="00000000" w:rsidR="00000000" w:rsidRPr="00000000">
        <w:rPr>
          <w:sz w:val="20"/>
          <w:szCs w:val="20"/>
          <w:rtl w:val="0"/>
        </w:rPr>
        <w:t xml:space="preserve">Identification of ultimate beneficial owners, where applicable; </w:t>
      </w:r>
    </w:p>
    <w:p w:rsidR="00000000" w:rsidDel="00000000" w:rsidP="00000000" w:rsidRDefault="00000000" w:rsidRPr="00000000" w14:paraId="0000005B">
      <w:pPr>
        <w:numPr>
          <w:ilvl w:val="0"/>
          <w:numId w:val="10"/>
        </w:numPr>
        <w:tabs>
          <w:tab w:val="left" w:leader="none" w:pos="6540"/>
        </w:tabs>
        <w:ind w:left="720" w:hanging="360"/>
        <w:jc w:val="both"/>
        <w:rPr/>
      </w:pPr>
      <w:r w:rsidDel="00000000" w:rsidR="00000000" w:rsidRPr="00000000">
        <w:rPr>
          <w:sz w:val="20"/>
          <w:szCs w:val="20"/>
          <w:rtl w:val="0"/>
        </w:rPr>
        <w:t xml:space="preserve">Description of governance arrangements; </w:t>
      </w:r>
    </w:p>
    <w:p w:rsidR="00000000" w:rsidDel="00000000" w:rsidP="00000000" w:rsidRDefault="00000000" w:rsidRPr="00000000" w14:paraId="0000005C">
      <w:pPr>
        <w:numPr>
          <w:ilvl w:val="0"/>
          <w:numId w:val="11"/>
        </w:numPr>
        <w:tabs>
          <w:tab w:val="left" w:leader="none" w:pos="6540"/>
        </w:tabs>
        <w:ind w:left="720" w:hanging="360"/>
        <w:jc w:val="both"/>
        <w:rPr/>
      </w:pPr>
      <w:r w:rsidDel="00000000" w:rsidR="00000000" w:rsidRPr="00000000">
        <w:rPr>
          <w:sz w:val="20"/>
          <w:szCs w:val="20"/>
          <w:rtl w:val="0"/>
        </w:rPr>
        <w:t xml:space="preserve">Declaration regarding the existence of foreign ownership or control; </w:t>
      </w:r>
    </w:p>
    <w:p w:rsidR="00000000" w:rsidDel="00000000" w:rsidP="00000000" w:rsidRDefault="00000000" w:rsidRPr="00000000" w14:paraId="0000005D">
      <w:pPr>
        <w:numPr>
          <w:ilvl w:val="0"/>
          <w:numId w:val="12"/>
        </w:numPr>
        <w:tabs>
          <w:tab w:val="left" w:leader="none" w:pos="6540"/>
        </w:tabs>
        <w:ind w:left="720" w:hanging="360"/>
        <w:jc w:val="both"/>
        <w:rPr/>
      </w:pPr>
      <w:r w:rsidDel="00000000" w:rsidR="00000000" w:rsidRPr="00000000">
        <w:rPr>
          <w:sz w:val="20"/>
          <w:szCs w:val="20"/>
          <w:rtl w:val="0"/>
        </w:rPr>
        <w:t xml:space="preserve">Disclosure of any special rights, veto powers, shareholder agreements, or other mechanisms capable of conferring decisive influence. </w:t>
      </w:r>
    </w:p>
    <w:p w:rsidR="00000000" w:rsidDel="00000000" w:rsidP="00000000" w:rsidRDefault="00000000" w:rsidRPr="00000000" w14:paraId="0000005E">
      <w:pPr>
        <w:tabs>
          <w:tab w:val="left" w:leader="none" w:pos="6540"/>
        </w:tabs>
        <w:jc w:val="both"/>
        <w:rPr>
          <w:sz w:val="20"/>
          <w:szCs w:val="20"/>
        </w:rPr>
      </w:pPr>
      <w:r w:rsidDel="00000000" w:rsidR="00000000" w:rsidRPr="00000000">
        <w:rPr>
          <w:sz w:val="20"/>
          <w:szCs w:val="20"/>
          <w:rtl w:val="0"/>
        </w:rPr>
        <w:t xml:space="preserve">Applicants shall formally declare that the information provided is complete, accurate, and up to date. </w:t>
      </w:r>
    </w:p>
    <w:p w:rsidR="00000000" w:rsidDel="00000000" w:rsidP="00000000" w:rsidRDefault="00000000" w:rsidRPr="00000000" w14:paraId="0000005F">
      <w:pPr>
        <w:pStyle w:val="Heading2"/>
        <w:ind w:left="576" w:hanging="576"/>
        <w:rPr/>
      </w:pPr>
      <w:r w:rsidDel="00000000" w:rsidR="00000000" w:rsidRPr="00000000">
        <w:rPr>
          <w:rtl w:val="0"/>
        </w:rPr>
        <w:t xml:space="preserve">Step 2 - Initial Eligibility Screening </w:t>
      </w:r>
    </w:p>
    <w:p w:rsidR="00000000" w:rsidDel="00000000" w:rsidP="00000000" w:rsidRDefault="00000000" w:rsidRPr="00000000" w14:paraId="00000060">
      <w:pPr>
        <w:tabs>
          <w:tab w:val="left" w:leader="none" w:pos="6540"/>
        </w:tabs>
        <w:jc w:val="both"/>
        <w:rPr>
          <w:sz w:val="20"/>
          <w:szCs w:val="20"/>
        </w:rPr>
      </w:pPr>
      <w:r w:rsidDel="00000000" w:rsidR="00000000" w:rsidRPr="00000000">
        <w:rPr>
          <w:sz w:val="20"/>
          <w:szCs w:val="20"/>
          <w:rtl w:val="0"/>
        </w:rPr>
        <w:t xml:space="preserve">Following receipt of the declaration, the Open Call Management Team shall conduct an initial screening. </w:t>
      </w:r>
    </w:p>
    <w:p w:rsidR="00000000" w:rsidDel="00000000" w:rsidP="00000000" w:rsidRDefault="00000000" w:rsidRPr="00000000" w14:paraId="00000061">
      <w:pPr>
        <w:tabs>
          <w:tab w:val="left" w:leader="none" w:pos="6540"/>
        </w:tabs>
        <w:jc w:val="both"/>
        <w:rPr>
          <w:sz w:val="20"/>
          <w:szCs w:val="20"/>
        </w:rPr>
      </w:pPr>
      <w:r w:rsidDel="00000000" w:rsidR="00000000" w:rsidRPr="00000000">
        <w:rPr>
          <w:sz w:val="20"/>
          <w:szCs w:val="20"/>
          <w:rtl w:val="0"/>
        </w:rPr>
        <w:t xml:space="preserve">The purpose of this stage is to establish whether the applicant is legally established in an eligible country and whether the information provided allows a reasonable understanding of the ownership structure. </w:t>
      </w:r>
    </w:p>
    <w:p w:rsidR="00000000" w:rsidDel="00000000" w:rsidP="00000000" w:rsidRDefault="00000000" w:rsidRPr="00000000" w14:paraId="00000062">
      <w:pPr>
        <w:tabs>
          <w:tab w:val="left" w:leader="none" w:pos="6540"/>
        </w:tabs>
        <w:jc w:val="both"/>
        <w:rPr>
          <w:sz w:val="20"/>
          <w:szCs w:val="20"/>
        </w:rPr>
      </w:pPr>
      <w:r w:rsidDel="00000000" w:rsidR="00000000" w:rsidRPr="00000000">
        <w:rPr>
          <w:sz w:val="20"/>
          <w:szCs w:val="20"/>
          <w:rtl w:val="0"/>
        </w:rPr>
        <w:t xml:space="preserve">The screening shall verify: </w:t>
      </w:r>
    </w:p>
    <w:p w:rsidR="00000000" w:rsidDel="00000000" w:rsidP="00000000" w:rsidRDefault="00000000" w:rsidRPr="00000000" w14:paraId="00000063">
      <w:pPr>
        <w:numPr>
          <w:ilvl w:val="0"/>
          <w:numId w:val="13"/>
        </w:numPr>
        <w:tabs>
          <w:tab w:val="left" w:leader="none" w:pos="6540"/>
        </w:tabs>
        <w:ind w:left="720" w:hanging="360"/>
        <w:jc w:val="both"/>
        <w:rPr/>
      </w:pPr>
      <w:r w:rsidDel="00000000" w:rsidR="00000000" w:rsidRPr="00000000">
        <w:rPr>
          <w:sz w:val="20"/>
          <w:szCs w:val="20"/>
          <w:rtl w:val="0"/>
        </w:rPr>
        <w:t xml:space="preserve">Legal registration and existence of the entity; </w:t>
      </w:r>
    </w:p>
    <w:p w:rsidR="00000000" w:rsidDel="00000000" w:rsidP="00000000" w:rsidRDefault="00000000" w:rsidRPr="00000000" w14:paraId="00000064">
      <w:pPr>
        <w:numPr>
          <w:ilvl w:val="0"/>
          <w:numId w:val="14"/>
        </w:numPr>
        <w:tabs>
          <w:tab w:val="left" w:leader="none" w:pos="6540"/>
        </w:tabs>
        <w:ind w:left="720" w:hanging="360"/>
        <w:jc w:val="both"/>
        <w:rPr/>
      </w:pPr>
      <w:r w:rsidDel="00000000" w:rsidR="00000000" w:rsidRPr="00000000">
        <w:rPr>
          <w:sz w:val="20"/>
          <w:szCs w:val="20"/>
          <w:rtl w:val="0"/>
        </w:rPr>
        <w:t xml:space="preserve">Completeness of the submitted declaration; </w:t>
      </w:r>
    </w:p>
    <w:p w:rsidR="00000000" w:rsidDel="00000000" w:rsidP="00000000" w:rsidRDefault="00000000" w:rsidRPr="00000000" w14:paraId="00000065">
      <w:pPr>
        <w:numPr>
          <w:ilvl w:val="0"/>
          <w:numId w:val="15"/>
        </w:numPr>
        <w:tabs>
          <w:tab w:val="left" w:leader="none" w:pos="6540"/>
        </w:tabs>
        <w:ind w:left="720" w:hanging="360"/>
        <w:jc w:val="both"/>
        <w:rPr/>
      </w:pPr>
      <w:r w:rsidDel="00000000" w:rsidR="00000000" w:rsidRPr="00000000">
        <w:rPr>
          <w:sz w:val="20"/>
          <w:szCs w:val="20"/>
          <w:rtl w:val="0"/>
        </w:rPr>
        <w:t xml:space="preserve">Consistency of ownership information; </w:t>
      </w:r>
    </w:p>
    <w:p w:rsidR="00000000" w:rsidDel="00000000" w:rsidP="00000000" w:rsidRDefault="00000000" w:rsidRPr="00000000" w14:paraId="00000066">
      <w:pPr>
        <w:numPr>
          <w:ilvl w:val="0"/>
          <w:numId w:val="16"/>
        </w:numPr>
        <w:tabs>
          <w:tab w:val="left" w:leader="none" w:pos="6540"/>
        </w:tabs>
        <w:ind w:left="720" w:hanging="360"/>
        <w:jc w:val="both"/>
        <w:rPr/>
      </w:pPr>
      <w:r w:rsidDel="00000000" w:rsidR="00000000" w:rsidRPr="00000000">
        <w:rPr>
          <w:sz w:val="20"/>
          <w:szCs w:val="20"/>
          <w:rtl w:val="0"/>
        </w:rPr>
        <w:t xml:space="preserve">Presence of any apparent ownership or control concerns; </w:t>
      </w:r>
    </w:p>
    <w:p w:rsidR="00000000" w:rsidDel="00000000" w:rsidP="00000000" w:rsidRDefault="00000000" w:rsidRPr="00000000" w14:paraId="00000067">
      <w:pPr>
        <w:numPr>
          <w:ilvl w:val="0"/>
          <w:numId w:val="17"/>
        </w:numPr>
        <w:tabs>
          <w:tab w:val="left" w:leader="none" w:pos="6540"/>
        </w:tabs>
        <w:ind w:left="720" w:hanging="360"/>
        <w:jc w:val="both"/>
        <w:rPr/>
      </w:pPr>
      <w:r w:rsidDel="00000000" w:rsidR="00000000" w:rsidRPr="00000000">
        <w:rPr>
          <w:sz w:val="20"/>
          <w:szCs w:val="20"/>
          <w:rtl w:val="0"/>
        </w:rPr>
        <w:t xml:space="preserve">Existence of foreign shareholders or parent entities. </w:t>
      </w:r>
    </w:p>
    <w:p w:rsidR="00000000" w:rsidDel="00000000" w:rsidP="00000000" w:rsidRDefault="00000000" w:rsidRPr="00000000" w14:paraId="00000068">
      <w:pPr>
        <w:tabs>
          <w:tab w:val="left" w:leader="none" w:pos="6540"/>
        </w:tabs>
        <w:jc w:val="both"/>
        <w:rPr>
          <w:sz w:val="20"/>
          <w:szCs w:val="20"/>
        </w:rPr>
      </w:pPr>
      <w:r w:rsidDel="00000000" w:rsidR="00000000" w:rsidRPr="00000000">
        <w:rPr>
          <w:sz w:val="20"/>
          <w:szCs w:val="20"/>
          <w:rtl w:val="0"/>
        </w:rPr>
        <w:t xml:space="preserve">Where no concerns are identified and the ownership structure is straightforward and transparent, the applicant may proceed through the evaluation process without further ownership-related investigations. </w:t>
      </w:r>
    </w:p>
    <w:p w:rsidR="00000000" w:rsidDel="00000000" w:rsidP="00000000" w:rsidRDefault="00000000" w:rsidRPr="00000000" w14:paraId="00000069">
      <w:pPr>
        <w:pStyle w:val="Heading2"/>
        <w:ind w:left="576" w:hanging="576"/>
        <w:rPr/>
      </w:pPr>
      <w:r w:rsidDel="00000000" w:rsidR="00000000" w:rsidRPr="00000000">
        <w:rPr>
          <w:rtl w:val="0"/>
        </w:rPr>
        <w:t xml:space="preserve">Step 3 - Ownership Assessment </w:t>
      </w:r>
    </w:p>
    <w:p w:rsidR="00000000" w:rsidDel="00000000" w:rsidP="00000000" w:rsidRDefault="00000000" w:rsidRPr="00000000" w14:paraId="0000006A">
      <w:pPr>
        <w:tabs>
          <w:tab w:val="left" w:leader="none" w:pos="6540"/>
        </w:tabs>
        <w:jc w:val="both"/>
        <w:rPr>
          <w:sz w:val="20"/>
          <w:szCs w:val="20"/>
        </w:rPr>
      </w:pPr>
      <w:r w:rsidDel="00000000" w:rsidR="00000000" w:rsidRPr="00000000">
        <w:rPr>
          <w:sz w:val="20"/>
          <w:szCs w:val="20"/>
          <w:rtl w:val="0"/>
        </w:rPr>
        <w:t xml:space="preserve">Where relevant, the Consortium shall perform a more detailed analysis of the ownership structure. </w:t>
      </w:r>
    </w:p>
    <w:p w:rsidR="00000000" w:rsidDel="00000000" w:rsidP="00000000" w:rsidRDefault="00000000" w:rsidRPr="00000000" w14:paraId="0000006B">
      <w:pPr>
        <w:tabs>
          <w:tab w:val="left" w:leader="none" w:pos="6540"/>
        </w:tabs>
        <w:jc w:val="both"/>
        <w:rPr>
          <w:sz w:val="20"/>
          <w:szCs w:val="20"/>
        </w:rPr>
      </w:pPr>
      <w:r w:rsidDel="00000000" w:rsidR="00000000" w:rsidRPr="00000000">
        <w:rPr>
          <w:sz w:val="20"/>
          <w:szCs w:val="20"/>
          <w:rtl w:val="0"/>
        </w:rPr>
        <w:t xml:space="preserve">The purpose of this review is to identify the persons or entities who ultimately own the applicant and determine whether a non-eligible entity may possess a level of ownership capable of creating influence over the organization. </w:t>
      </w:r>
    </w:p>
    <w:p w:rsidR="00000000" w:rsidDel="00000000" w:rsidP="00000000" w:rsidRDefault="00000000" w:rsidRPr="00000000" w14:paraId="0000006C">
      <w:pPr>
        <w:tabs>
          <w:tab w:val="left" w:leader="none" w:pos="6540"/>
        </w:tabs>
        <w:jc w:val="both"/>
        <w:rPr>
          <w:sz w:val="20"/>
          <w:szCs w:val="20"/>
        </w:rPr>
      </w:pPr>
      <w:r w:rsidDel="00000000" w:rsidR="00000000" w:rsidRPr="00000000">
        <w:rPr>
          <w:sz w:val="20"/>
          <w:szCs w:val="20"/>
          <w:rtl w:val="0"/>
        </w:rPr>
        <w:t xml:space="preserve">The assessment shall consider factors such as: </w:t>
      </w:r>
    </w:p>
    <w:p w:rsidR="00000000" w:rsidDel="00000000" w:rsidP="00000000" w:rsidRDefault="00000000" w:rsidRPr="00000000" w14:paraId="0000006D">
      <w:pPr>
        <w:numPr>
          <w:ilvl w:val="0"/>
          <w:numId w:val="18"/>
        </w:numPr>
        <w:tabs>
          <w:tab w:val="left" w:leader="none" w:pos="6540"/>
        </w:tabs>
        <w:ind w:left="720" w:hanging="360"/>
        <w:jc w:val="both"/>
        <w:rPr/>
      </w:pPr>
      <w:r w:rsidDel="00000000" w:rsidR="00000000" w:rsidRPr="00000000">
        <w:rPr>
          <w:sz w:val="20"/>
          <w:szCs w:val="20"/>
          <w:rtl w:val="0"/>
        </w:rPr>
        <w:t xml:space="preserve">Shareholding percentages; </w:t>
      </w:r>
    </w:p>
    <w:p w:rsidR="00000000" w:rsidDel="00000000" w:rsidP="00000000" w:rsidRDefault="00000000" w:rsidRPr="00000000" w14:paraId="0000006E">
      <w:pPr>
        <w:numPr>
          <w:ilvl w:val="0"/>
          <w:numId w:val="19"/>
        </w:numPr>
        <w:tabs>
          <w:tab w:val="left" w:leader="none" w:pos="6540"/>
        </w:tabs>
        <w:ind w:left="720" w:hanging="360"/>
        <w:jc w:val="both"/>
        <w:rPr/>
      </w:pPr>
      <w:r w:rsidDel="00000000" w:rsidR="00000000" w:rsidRPr="00000000">
        <w:rPr>
          <w:sz w:val="20"/>
          <w:szCs w:val="20"/>
          <w:rtl w:val="0"/>
        </w:rPr>
        <w:t xml:space="preserve">Distribution of voting rights; </w:t>
      </w:r>
    </w:p>
    <w:p w:rsidR="00000000" w:rsidDel="00000000" w:rsidP="00000000" w:rsidRDefault="00000000" w:rsidRPr="00000000" w14:paraId="0000006F">
      <w:pPr>
        <w:numPr>
          <w:ilvl w:val="0"/>
          <w:numId w:val="20"/>
        </w:numPr>
        <w:tabs>
          <w:tab w:val="left" w:leader="none" w:pos="6540"/>
        </w:tabs>
        <w:ind w:left="720" w:hanging="360"/>
        <w:jc w:val="both"/>
        <w:rPr/>
      </w:pPr>
      <w:r w:rsidDel="00000000" w:rsidR="00000000" w:rsidRPr="00000000">
        <w:rPr>
          <w:sz w:val="20"/>
          <w:szCs w:val="20"/>
          <w:rtl w:val="0"/>
        </w:rPr>
        <w:t xml:space="preserve">Parent-subsidiary relationships; </w:t>
      </w:r>
    </w:p>
    <w:p w:rsidR="00000000" w:rsidDel="00000000" w:rsidP="00000000" w:rsidRDefault="00000000" w:rsidRPr="00000000" w14:paraId="00000070">
      <w:pPr>
        <w:numPr>
          <w:ilvl w:val="0"/>
          <w:numId w:val="21"/>
        </w:numPr>
        <w:tabs>
          <w:tab w:val="left" w:leader="none" w:pos="6540"/>
        </w:tabs>
        <w:ind w:left="720" w:hanging="360"/>
        <w:jc w:val="both"/>
        <w:rPr/>
      </w:pPr>
      <w:r w:rsidDel="00000000" w:rsidR="00000000" w:rsidRPr="00000000">
        <w:rPr>
          <w:sz w:val="20"/>
          <w:szCs w:val="20"/>
          <w:rtl w:val="0"/>
        </w:rPr>
        <w:t xml:space="preserve">Chain of ownership through intermediate entities; </w:t>
      </w:r>
    </w:p>
    <w:p w:rsidR="00000000" w:rsidDel="00000000" w:rsidP="00000000" w:rsidRDefault="00000000" w:rsidRPr="00000000" w14:paraId="00000071">
      <w:pPr>
        <w:numPr>
          <w:ilvl w:val="0"/>
          <w:numId w:val="22"/>
        </w:numPr>
        <w:tabs>
          <w:tab w:val="left" w:leader="none" w:pos="6540"/>
        </w:tabs>
        <w:ind w:left="720" w:hanging="360"/>
        <w:jc w:val="both"/>
        <w:rPr/>
      </w:pPr>
      <w:r w:rsidDel="00000000" w:rsidR="00000000" w:rsidRPr="00000000">
        <w:rPr>
          <w:sz w:val="20"/>
          <w:szCs w:val="20"/>
          <w:rtl w:val="0"/>
        </w:rPr>
        <w:t xml:space="preserve">Location and status of ultimate owners; </w:t>
      </w:r>
    </w:p>
    <w:p w:rsidR="00000000" w:rsidDel="00000000" w:rsidP="00000000" w:rsidRDefault="00000000" w:rsidRPr="00000000" w14:paraId="00000072">
      <w:pPr>
        <w:numPr>
          <w:ilvl w:val="0"/>
          <w:numId w:val="23"/>
        </w:numPr>
        <w:tabs>
          <w:tab w:val="left" w:leader="none" w:pos="6540"/>
        </w:tabs>
        <w:ind w:left="720" w:hanging="360"/>
        <w:jc w:val="both"/>
        <w:rPr/>
      </w:pPr>
      <w:r w:rsidDel="00000000" w:rsidR="00000000" w:rsidRPr="00000000">
        <w:rPr>
          <w:sz w:val="20"/>
          <w:szCs w:val="20"/>
          <w:rtl w:val="0"/>
        </w:rPr>
        <w:t xml:space="preserve">Concentration of ownership among a limited number of shareholders. </w:t>
      </w:r>
    </w:p>
    <w:p w:rsidR="00000000" w:rsidDel="00000000" w:rsidP="00000000" w:rsidRDefault="00000000" w:rsidRPr="00000000" w14:paraId="00000073">
      <w:pPr>
        <w:tabs>
          <w:tab w:val="left" w:leader="none" w:pos="6540"/>
        </w:tabs>
        <w:jc w:val="both"/>
        <w:rPr>
          <w:sz w:val="20"/>
          <w:szCs w:val="20"/>
        </w:rPr>
      </w:pPr>
      <w:r w:rsidDel="00000000" w:rsidR="00000000" w:rsidRPr="00000000">
        <w:rPr>
          <w:sz w:val="20"/>
          <w:szCs w:val="20"/>
          <w:rtl w:val="0"/>
        </w:rPr>
        <w:t xml:space="preserve">The review shall not rely solely on numerical ownership thresholds. Instead, ownership shall be considered together with governance and control mechanisms to determine the actual capacity to influence strategic decisions. </w:t>
      </w:r>
    </w:p>
    <w:p w:rsidR="00000000" w:rsidDel="00000000" w:rsidP="00000000" w:rsidRDefault="00000000" w:rsidRPr="00000000" w14:paraId="00000074">
      <w:pPr>
        <w:tabs>
          <w:tab w:val="left" w:leader="none" w:pos="6540"/>
        </w:tabs>
        <w:jc w:val="both"/>
        <w:rPr/>
      </w:pPr>
      <w:r w:rsidDel="00000000" w:rsidR="00000000" w:rsidRPr="00000000">
        <w:rPr>
          <w:sz w:val="20"/>
          <w:szCs w:val="20"/>
          <w:rtl w:val="0"/>
        </w:rPr>
        <w:t xml:space="preserve">Particular attention shall be paid to ownership structures involving holding companies, offshore structures, investment funds, trusts, nominee arrangements, or multiple layers of ownership that may obscure the identity of the ultimate owners. </w:t>
      </w:r>
      <w:r w:rsidDel="00000000" w:rsidR="00000000" w:rsidRPr="00000000">
        <w:rPr>
          <w:rtl w:val="0"/>
        </w:rPr>
      </w:r>
    </w:p>
    <w:p w:rsidR="00000000" w:rsidDel="00000000" w:rsidP="00000000" w:rsidRDefault="00000000" w:rsidRPr="00000000" w14:paraId="00000075">
      <w:pPr>
        <w:pStyle w:val="Heading2"/>
        <w:ind w:left="576" w:hanging="576"/>
        <w:rPr/>
      </w:pPr>
      <w:r w:rsidDel="00000000" w:rsidR="00000000" w:rsidRPr="00000000">
        <w:rPr>
          <w:rtl w:val="0"/>
        </w:rPr>
        <w:t xml:space="preserve">Step 4 - Control Assessment </w:t>
      </w:r>
    </w:p>
    <w:p w:rsidR="00000000" w:rsidDel="00000000" w:rsidP="00000000" w:rsidRDefault="00000000" w:rsidRPr="00000000" w14:paraId="00000076">
      <w:pPr>
        <w:tabs>
          <w:tab w:val="left" w:leader="none" w:pos="6540"/>
        </w:tabs>
        <w:jc w:val="both"/>
        <w:rPr>
          <w:sz w:val="20"/>
          <w:szCs w:val="20"/>
        </w:rPr>
      </w:pPr>
      <w:r w:rsidDel="00000000" w:rsidR="00000000" w:rsidRPr="00000000">
        <w:rPr>
          <w:sz w:val="20"/>
          <w:szCs w:val="20"/>
          <w:rtl w:val="0"/>
        </w:rPr>
        <w:t xml:space="preserve">Control shall be assessed independently from ownership, recognizing that decisive influence may exist even in the absence of majority ownership. </w:t>
      </w:r>
    </w:p>
    <w:p w:rsidR="00000000" w:rsidDel="00000000" w:rsidP="00000000" w:rsidRDefault="00000000" w:rsidRPr="00000000" w14:paraId="00000077">
      <w:pPr>
        <w:tabs>
          <w:tab w:val="left" w:leader="none" w:pos="6540"/>
        </w:tabs>
        <w:jc w:val="both"/>
        <w:rPr>
          <w:sz w:val="20"/>
          <w:szCs w:val="20"/>
        </w:rPr>
      </w:pPr>
      <w:r w:rsidDel="00000000" w:rsidR="00000000" w:rsidRPr="00000000">
        <w:rPr>
          <w:sz w:val="20"/>
          <w:szCs w:val="20"/>
          <w:rtl w:val="0"/>
        </w:rPr>
        <w:t xml:space="preserve">The objective of this assessment is to determine whether any entity or individual can direct, influence, or constrain the strategic decisions of the applicant. </w:t>
      </w:r>
    </w:p>
    <w:p w:rsidR="00000000" w:rsidDel="00000000" w:rsidP="00000000" w:rsidRDefault="00000000" w:rsidRPr="00000000" w14:paraId="00000078">
      <w:pPr>
        <w:tabs>
          <w:tab w:val="left" w:leader="none" w:pos="6540"/>
        </w:tabs>
        <w:jc w:val="both"/>
        <w:rPr>
          <w:sz w:val="20"/>
          <w:szCs w:val="20"/>
        </w:rPr>
      </w:pPr>
      <w:r w:rsidDel="00000000" w:rsidR="00000000" w:rsidRPr="00000000">
        <w:rPr>
          <w:sz w:val="20"/>
          <w:szCs w:val="20"/>
          <w:rtl w:val="0"/>
        </w:rPr>
        <w:t xml:space="preserve">The Consortium shall examine a range of indicators, including: </w:t>
      </w:r>
    </w:p>
    <w:p w:rsidR="00000000" w:rsidDel="00000000" w:rsidP="00000000" w:rsidRDefault="00000000" w:rsidRPr="00000000" w14:paraId="00000079">
      <w:pPr>
        <w:tabs>
          <w:tab w:val="left" w:leader="none" w:pos="6540"/>
        </w:tabs>
        <w:jc w:val="both"/>
        <w:rPr>
          <w:b w:val="1"/>
          <w:bCs w:val="1"/>
          <w:sz w:val="20"/>
          <w:szCs w:val="20"/>
        </w:rPr>
      </w:pPr>
      <w:r w:rsidDel="00000000" w:rsidR="00000000" w:rsidRPr="00000000">
        <w:rPr>
          <w:b w:val="1"/>
          <w:bCs w:val="1"/>
          <w:sz w:val="20"/>
          <w:szCs w:val="20"/>
          <w:rtl w:val="0"/>
        </w:rPr>
        <w:t xml:space="preserve">Governance Rights </w:t>
      </w:r>
    </w:p>
    <w:p w:rsidR="00000000" w:rsidDel="00000000" w:rsidP="00000000" w:rsidRDefault="00000000" w:rsidRPr="00000000" w14:paraId="0000007A">
      <w:pPr>
        <w:tabs>
          <w:tab w:val="left" w:leader="none" w:pos="6540"/>
        </w:tabs>
        <w:jc w:val="both"/>
        <w:rPr>
          <w:sz w:val="20"/>
          <w:szCs w:val="20"/>
        </w:rPr>
      </w:pPr>
      <w:r w:rsidDel="00000000" w:rsidR="00000000" w:rsidRPr="00000000">
        <w:rPr>
          <w:sz w:val="20"/>
          <w:szCs w:val="20"/>
          <w:rtl w:val="0"/>
        </w:rPr>
        <w:t xml:space="preserve">Assessment of governance arrangements may include: </w:t>
      </w:r>
    </w:p>
    <w:p w:rsidR="00000000" w:rsidDel="00000000" w:rsidP="00000000" w:rsidRDefault="00000000" w:rsidRPr="00000000" w14:paraId="0000007B">
      <w:pPr>
        <w:numPr>
          <w:ilvl w:val="0"/>
          <w:numId w:val="24"/>
        </w:numPr>
        <w:tabs>
          <w:tab w:val="left" w:leader="none" w:pos="6540"/>
        </w:tabs>
        <w:ind w:left="720" w:hanging="360"/>
        <w:jc w:val="both"/>
        <w:rPr/>
      </w:pPr>
      <w:r w:rsidDel="00000000" w:rsidR="00000000" w:rsidRPr="00000000">
        <w:rPr>
          <w:sz w:val="20"/>
          <w:szCs w:val="20"/>
          <w:rtl w:val="0"/>
        </w:rPr>
        <w:t xml:space="preserve">Rights to appoint members of the Board of Directors; </w:t>
      </w:r>
    </w:p>
    <w:p w:rsidR="00000000" w:rsidDel="00000000" w:rsidP="00000000" w:rsidRDefault="00000000" w:rsidRPr="00000000" w14:paraId="0000007C">
      <w:pPr>
        <w:numPr>
          <w:ilvl w:val="0"/>
          <w:numId w:val="25"/>
        </w:numPr>
        <w:tabs>
          <w:tab w:val="left" w:leader="none" w:pos="6540"/>
        </w:tabs>
        <w:ind w:left="720" w:hanging="360"/>
        <w:jc w:val="both"/>
        <w:rPr/>
      </w:pPr>
      <w:r w:rsidDel="00000000" w:rsidR="00000000" w:rsidRPr="00000000">
        <w:rPr>
          <w:sz w:val="20"/>
          <w:szCs w:val="20"/>
          <w:rtl w:val="0"/>
        </w:rPr>
        <w:t xml:space="preserve">Rights to remove management personnel; </w:t>
      </w:r>
    </w:p>
    <w:p w:rsidR="00000000" w:rsidDel="00000000" w:rsidP="00000000" w:rsidRDefault="00000000" w:rsidRPr="00000000" w14:paraId="0000007D">
      <w:pPr>
        <w:numPr>
          <w:ilvl w:val="0"/>
          <w:numId w:val="26"/>
        </w:numPr>
        <w:tabs>
          <w:tab w:val="left" w:leader="none" w:pos="6540"/>
        </w:tabs>
        <w:ind w:left="720" w:hanging="360"/>
        <w:jc w:val="both"/>
        <w:rPr/>
      </w:pPr>
      <w:r w:rsidDel="00000000" w:rsidR="00000000" w:rsidRPr="00000000">
        <w:rPr>
          <w:sz w:val="20"/>
          <w:szCs w:val="20"/>
          <w:rtl w:val="0"/>
        </w:rPr>
        <w:t xml:space="preserve">Rights to nominate senior executives; </w:t>
      </w:r>
    </w:p>
    <w:p w:rsidR="00000000" w:rsidDel="00000000" w:rsidP="00000000" w:rsidRDefault="00000000" w:rsidRPr="00000000" w14:paraId="0000007E">
      <w:pPr>
        <w:numPr>
          <w:ilvl w:val="0"/>
          <w:numId w:val="27"/>
        </w:numPr>
        <w:tabs>
          <w:tab w:val="left" w:leader="none" w:pos="6540"/>
        </w:tabs>
        <w:ind w:left="720" w:hanging="360"/>
        <w:jc w:val="both"/>
        <w:rPr/>
      </w:pPr>
      <w:r w:rsidDel="00000000" w:rsidR="00000000" w:rsidRPr="00000000">
        <w:rPr>
          <w:sz w:val="20"/>
          <w:szCs w:val="20"/>
          <w:rtl w:val="0"/>
        </w:rPr>
        <w:t xml:space="preserve">Board composition and voting arrangements. </w:t>
      </w:r>
    </w:p>
    <w:p w:rsidR="00000000" w:rsidDel="00000000" w:rsidP="00000000" w:rsidRDefault="00000000" w:rsidRPr="00000000" w14:paraId="0000007F">
      <w:pPr>
        <w:tabs>
          <w:tab w:val="left" w:leader="none" w:pos="6540"/>
        </w:tabs>
        <w:jc w:val="both"/>
        <w:rPr>
          <w:b w:val="1"/>
          <w:bCs w:val="1"/>
          <w:sz w:val="20"/>
          <w:szCs w:val="20"/>
        </w:rPr>
      </w:pPr>
      <w:r w:rsidDel="00000000" w:rsidR="00000000" w:rsidRPr="00000000">
        <w:rPr>
          <w:b w:val="1"/>
          <w:bCs w:val="1"/>
          <w:sz w:val="20"/>
          <w:szCs w:val="20"/>
          <w:rtl w:val="0"/>
        </w:rPr>
        <w:t xml:space="preserve">Decision-Making Powers </w:t>
      </w:r>
    </w:p>
    <w:p w:rsidR="00000000" w:rsidDel="00000000" w:rsidP="00000000" w:rsidRDefault="00000000" w:rsidRPr="00000000" w14:paraId="00000080">
      <w:pPr>
        <w:tabs>
          <w:tab w:val="left" w:leader="none" w:pos="6540"/>
        </w:tabs>
        <w:jc w:val="both"/>
        <w:rPr>
          <w:sz w:val="20"/>
          <w:szCs w:val="20"/>
        </w:rPr>
      </w:pPr>
      <w:r w:rsidDel="00000000" w:rsidR="00000000" w:rsidRPr="00000000">
        <w:rPr>
          <w:sz w:val="20"/>
          <w:szCs w:val="20"/>
          <w:rtl w:val="0"/>
        </w:rPr>
        <w:t xml:space="preserve">The assessment may consider whether any entity possesses the ability to influence decisions related to: </w:t>
      </w:r>
    </w:p>
    <w:p w:rsidR="00000000" w:rsidDel="00000000" w:rsidP="00000000" w:rsidRDefault="00000000" w:rsidRPr="00000000" w14:paraId="00000081">
      <w:pPr>
        <w:numPr>
          <w:ilvl w:val="0"/>
          <w:numId w:val="28"/>
        </w:numPr>
        <w:tabs>
          <w:tab w:val="left" w:leader="none" w:pos="6540"/>
        </w:tabs>
        <w:ind w:left="720" w:hanging="360"/>
        <w:jc w:val="both"/>
        <w:rPr/>
      </w:pPr>
      <w:r w:rsidDel="00000000" w:rsidR="00000000" w:rsidRPr="00000000">
        <w:rPr>
          <w:sz w:val="20"/>
          <w:szCs w:val="20"/>
          <w:rtl w:val="0"/>
        </w:rPr>
        <w:t xml:space="preserve">Business strategy; </w:t>
      </w:r>
    </w:p>
    <w:p w:rsidR="00000000" w:rsidDel="00000000" w:rsidP="00000000" w:rsidRDefault="00000000" w:rsidRPr="00000000" w14:paraId="00000082">
      <w:pPr>
        <w:numPr>
          <w:ilvl w:val="0"/>
          <w:numId w:val="29"/>
        </w:numPr>
        <w:tabs>
          <w:tab w:val="left" w:leader="none" w:pos="6540"/>
        </w:tabs>
        <w:ind w:left="720" w:hanging="360"/>
        <w:jc w:val="both"/>
        <w:rPr/>
      </w:pPr>
      <w:r w:rsidDel="00000000" w:rsidR="00000000" w:rsidRPr="00000000">
        <w:rPr>
          <w:sz w:val="20"/>
          <w:szCs w:val="20"/>
          <w:rtl w:val="0"/>
        </w:rPr>
        <w:t xml:space="preserve">Research and innovation activities; </w:t>
      </w:r>
    </w:p>
    <w:p w:rsidR="00000000" w:rsidDel="00000000" w:rsidP="00000000" w:rsidRDefault="00000000" w:rsidRPr="00000000" w14:paraId="00000083">
      <w:pPr>
        <w:numPr>
          <w:ilvl w:val="0"/>
          <w:numId w:val="30"/>
        </w:numPr>
        <w:tabs>
          <w:tab w:val="left" w:leader="none" w:pos="6540"/>
        </w:tabs>
        <w:ind w:left="720" w:hanging="360"/>
        <w:jc w:val="both"/>
        <w:rPr/>
      </w:pPr>
      <w:r w:rsidDel="00000000" w:rsidR="00000000" w:rsidRPr="00000000">
        <w:rPr>
          <w:sz w:val="20"/>
          <w:szCs w:val="20"/>
          <w:rtl w:val="0"/>
        </w:rPr>
        <w:t xml:space="preserve">Investment priorities; </w:t>
      </w:r>
    </w:p>
    <w:p w:rsidR="00000000" w:rsidDel="00000000" w:rsidP="00000000" w:rsidRDefault="00000000" w:rsidRPr="00000000" w14:paraId="00000084">
      <w:pPr>
        <w:numPr>
          <w:ilvl w:val="0"/>
          <w:numId w:val="31"/>
        </w:numPr>
        <w:tabs>
          <w:tab w:val="left" w:leader="none" w:pos="6540"/>
        </w:tabs>
        <w:ind w:left="720" w:hanging="360"/>
        <w:jc w:val="both"/>
        <w:rPr/>
      </w:pPr>
      <w:r w:rsidDel="00000000" w:rsidR="00000000" w:rsidRPr="00000000">
        <w:rPr>
          <w:sz w:val="20"/>
          <w:szCs w:val="20"/>
          <w:rtl w:val="0"/>
        </w:rPr>
        <w:t xml:space="preserve">Technology development and deployment; </w:t>
      </w:r>
    </w:p>
    <w:p w:rsidR="00000000" w:rsidDel="00000000" w:rsidP="00000000" w:rsidRDefault="00000000" w:rsidRPr="00000000" w14:paraId="00000085">
      <w:pPr>
        <w:numPr>
          <w:ilvl w:val="0"/>
          <w:numId w:val="32"/>
        </w:numPr>
        <w:tabs>
          <w:tab w:val="left" w:leader="none" w:pos="6540"/>
        </w:tabs>
        <w:ind w:left="720" w:hanging="360"/>
        <w:jc w:val="both"/>
        <w:rPr/>
      </w:pPr>
      <w:r w:rsidDel="00000000" w:rsidR="00000000" w:rsidRPr="00000000">
        <w:rPr>
          <w:sz w:val="20"/>
          <w:szCs w:val="20"/>
          <w:rtl w:val="0"/>
        </w:rPr>
        <w:t xml:space="preserve">Corporate restructuring. </w:t>
      </w:r>
    </w:p>
    <w:p w:rsidR="00000000" w:rsidDel="00000000" w:rsidP="00000000" w:rsidRDefault="00000000" w:rsidRPr="00000000" w14:paraId="00000086">
      <w:pPr>
        <w:tabs>
          <w:tab w:val="left" w:leader="none" w:pos="6540"/>
        </w:tabs>
        <w:jc w:val="both"/>
        <w:rPr>
          <w:b w:val="1"/>
          <w:bCs w:val="1"/>
          <w:sz w:val="20"/>
          <w:szCs w:val="20"/>
        </w:rPr>
      </w:pPr>
      <w:r w:rsidDel="00000000" w:rsidR="00000000" w:rsidRPr="00000000">
        <w:rPr>
          <w:b w:val="1"/>
          <w:bCs w:val="1"/>
          <w:sz w:val="20"/>
          <w:szCs w:val="20"/>
          <w:rtl w:val="0"/>
        </w:rPr>
        <w:t xml:space="preserve">Special Voting Rights </w:t>
      </w:r>
    </w:p>
    <w:p w:rsidR="00000000" w:rsidDel="00000000" w:rsidP="00000000" w:rsidRDefault="00000000" w:rsidRPr="00000000" w14:paraId="00000087">
      <w:pPr>
        <w:tabs>
          <w:tab w:val="left" w:leader="none" w:pos="6540"/>
        </w:tabs>
        <w:jc w:val="both"/>
        <w:rPr>
          <w:sz w:val="20"/>
          <w:szCs w:val="20"/>
        </w:rPr>
      </w:pPr>
      <w:r w:rsidDel="00000000" w:rsidR="00000000" w:rsidRPr="00000000">
        <w:rPr>
          <w:sz w:val="20"/>
          <w:szCs w:val="20"/>
          <w:rtl w:val="0"/>
        </w:rPr>
        <w:t xml:space="preserve">The Consortium shall also examine: </w:t>
      </w:r>
    </w:p>
    <w:p w:rsidR="00000000" w:rsidDel="00000000" w:rsidP="00000000" w:rsidRDefault="00000000" w:rsidRPr="00000000" w14:paraId="00000088">
      <w:pPr>
        <w:numPr>
          <w:ilvl w:val="0"/>
          <w:numId w:val="33"/>
        </w:numPr>
        <w:tabs>
          <w:tab w:val="left" w:leader="none" w:pos="6540"/>
        </w:tabs>
        <w:ind w:left="720" w:hanging="360"/>
        <w:jc w:val="both"/>
        <w:rPr/>
      </w:pPr>
      <w:r w:rsidDel="00000000" w:rsidR="00000000" w:rsidRPr="00000000">
        <w:rPr>
          <w:sz w:val="20"/>
          <w:szCs w:val="20"/>
          <w:rtl w:val="0"/>
        </w:rPr>
        <w:t xml:space="preserve">Golden shares; </w:t>
      </w:r>
    </w:p>
    <w:p w:rsidR="00000000" w:rsidDel="00000000" w:rsidP="00000000" w:rsidRDefault="00000000" w:rsidRPr="00000000" w14:paraId="00000089">
      <w:pPr>
        <w:numPr>
          <w:ilvl w:val="0"/>
          <w:numId w:val="34"/>
        </w:numPr>
        <w:tabs>
          <w:tab w:val="left" w:leader="none" w:pos="6540"/>
        </w:tabs>
        <w:ind w:left="720" w:hanging="360"/>
        <w:jc w:val="both"/>
        <w:rPr/>
      </w:pPr>
      <w:r w:rsidDel="00000000" w:rsidR="00000000" w:rsidRPr="00000000">
        <w:rPr>
          <w:sz w:val="20"/>
          <w:szCs w:val="20"/>
          <w:rtl w:val="0"/>
        </w:rPr>
        <w:t xml:space="preserve">Enhanced voting rights; </w:t>
      </w:r>
    </w:p>
    <w:p w:rsidR="00000000" w:rsidDel="00000000" w:rsidP="00000000" w:rsidRDefault="00000000" w:rsidRPr="00000000" w14:paraId="0000008A">
      <w:pPr>
        <w:numPr>
          <w:ilvl w:val="0"/>
          <w:numId w:val="35"/>
        </w:numPr>
        <w:tabs>
          <w:tab w:val="left" w:leader="none" w:pos="6540"/>
        </w:tabs>
        <w:ind w:left="720" w:hanging="360"/>
        <w:jc w:val="both"/>
        <w:rPr/>
      </w:pPr>
      <w:r w:rsidDel="00000000" w:rsidR="00000000" w:rsidRPr="00000000">
        <w:rPr>
          <w:sz w:val="20"/>
          <w:szCs w:val="20"/>
          <w:rtl w:val="0"/>
        </w:rPr>
        <w:t xml:space="preserve">Veto rights; </w:t>
      </w:r>
    </w:p>
    <w:p w:rsidR="00000000" w:rsidDel="00000000" w:rsidP="00000000" w:rsidRDefault="00000000" w:rsidRPr="00000000" w14:paraId="0000008B">
      <w:pPr>
        <w:numPr>
          <w:ilvl w:val="0"/>
          <w:numId w:val="36"/>
        </w:numPr>
        <w:tabs>
          <w:tab w:val="left" w:leader="none" w:pos="6540"/>
        </w:tabs>
        <w:ind w:left="720" w:hanging="360"/>
        <w:jc w:val="both"/>
        <w:rPr/>
      </w:pPr>
      <w:r w:rsidDel="00000000" w:rsidR="00000000" w:rsidRPr="00000000">
        <w:rPr>
          <w:sz w:val="20"/>
          <w:szCs w:val="20"/>
          <w:rtl w:val="0"/>
        </w:rPr>
        <w:t xml:space="preserve">Reserved matters requiring shareholder approval. </w:t>
      </w:r>
    </w:p>
    <w:p w:rsidR="00000000" w:rsidDel="00000000" w:rsidP="00000000" w:rsidRDefault="00000000" w:rsidRPr="00000000" w14:paraId="0000008C">
      <w:pPr>
        <w:tabs>
          <w:tab w:val="left" w:leader="none" w:pos="6540"/>
        </w:tabs>
        <w:jc w:val="both"/>
        <w:rPr>
          <w:b w:val="1"/>
          <w:bCs w:val="1"/>
          <w:sz w:val="20"/>
          <w:szCs w:val="20"/>
        </w:rPr>
      </w:pPr>
      <w:r w:rsidDel="00000000" w:rsidR="00000000" w:rsidRPr="00000000">
        <w:rPr>
          <w:b w:val="1"/>
          <w:bCs w:val="1"/>
          <w:sz w:val="20"/>
          <w:szCs w:val="20"/>
          <w:rtl w:val="0"/>
        </w:rPr>
        <w:t xml:space="preserve">Contractual Influence </w:t>
      </w:r>
    </w:p>
    <w:p w:rsidR="00000000" w:rsidDel="00000000" w:rsidP="00000000" w:rsidRDefault="00000000" w:rsidRPr="00000000" w14:paraId="0000008D">
      <w:pPr>
        <w:tabs>
          <w:tab w:val="left" w:leader="none" w:pos="6540"/>
        </w:tabs>
        <w:jc w:val="both"/>
        <w:rPr>
          <w:sz w:val="20"/>
          <w:szCs w:val="20"/>
        </w:rPr>
      </w:pPr>
      <w:r w:rsidDel="00000000" w:rsidR="00000000" w:rsidRPr="00000000">
        <w:rPr>
          <w:sz w:val="20"/>
          <w:szCs w:val="20"/>
          <w:rtl w:val="0"/>
        </w:rPr>
        <w:t xml:space="preserve">Control may additionally arise through: </w:t>
      </w:r>
    </w:p>
    <w:p w:rsidR="00000000" w:rsidDel="00000000" w:rsidP="00000000" w:rsidRDefault="00000000" w:rsidRPr="00000000" w14:paraId="0000008E">
      <w:pPr>
        <w:numPr>
          <w:ilvl w:val="0"/>
          <w:numId w:val="37"/>
        </w:numPr>
        <w:tabs>
          <w:tab w:val="left" w:leader="none" w:pos="6540"/>
        </w:tabs>
        <w:ind w:left="720" w:hanging="360"/>
        <w:jc w:val="both"/>
        <w:rPr/>
      </w:pPr>
      <w:r w:rsidDel="00000000" w:rsidR="00000000" w:rsidRPr="00000000">
        <w:rPr>
          <w:sz w:val="20"/>
          <w:szCs w:val="20"/>
          <w:rtl w:val="0"/>
        </w:rPr>
        <w:t xml:space="preserve">Shareholder agreements; </w:t>
      </w:r>
    </w:p>
    <w:p w:rsidR="00000000" w:rsidDel="00000000" w:rsidP="00000000" w:rsidRDefault="00000000" w:rsidRPr="00000000" w14:paraId="0000008F">
      <w:pPr>
        <w:numPr>
          <w:ilvl w:val="0"/>
          <w:numId w:val="38"/>
        </w:numPr>
        <w:tabs>
          <w:tab w:val="left" w:leader="none" w:pos="6540"/>
        </w:tabs>
        <w:ind w:left="720" w:hanging="360"/>
        <w:jc w:val="both"/>
        <w:rPr/>
      </w:pPr>
      <w:r w:rsidDel="00000000" w:rsidR="00000000" w:rsidRPr="00000000">
        <w:rPr>
          <w:sz w:val="20"/>
          <w:szCs w:val="20"/>
          <w:rtl w:val="0"/>
        </w:rPr>
        <w:t xml:space="preserve">Management agreements; </w:t>
      </w:r>
    </w:p>
    <w:p w:rsidR="00000000" w:rsidDel="00000000" w:rsidP="00000000" w:rsidRDefault="00000000" w:rsidRPr="00000000" w14:paraId="00000090">
      <w:pPr>
        <w:numPr>
          <w:ilvl w:val="0"/>
          <w:numId w:val="39"/>
        </w:numPr>
        <w:tabs>
          <w:tab w:val="left" w:leader="none" w:pos="6540"/>
        </w:tabs>
        <w:ind w:left="720" w:hanging="360"/>
        <w:jc w:val="both"/>
        <w:rPr/>
      </w:pPr>
      <w:r w:rsidDel="00000000" w:rsidR="00000000" w:rsidRPr="00000000">
        <w:rPr>
          <w:sz w:val="20"/>
          <w:szCs w:val="20"/>
          <w:rtl w:val="0"/>
        </w:rPr>
        <w:t xml:space="preserve">Licensing agreements; </w:t>
      </w:r>
    </w:p>
    <w:p w:rsidR="00000000" w:rsidDel="00000000" w:rsidP="00000000" w:rsidRDefault="00000000" w:rsidRPr="00000000" w14:paraId="00000091">
      <w:pPr>
        <w:numPr>
          <w:ilvl w:val="0"/>
          <w:numId w:val="40"/>
        </w:numPr>
        <w:tabs>
          <w:tab w:val="left" w:leader="none" w:pos="6540"/>
        </w:tabs>
        <w:ind w:left="720" w:hanging="360"/>
        <w:jc w:val="both"/>
        <w:rPr/>
      </w:pPr>
      <w:r w:rsidDel="00000000" w:rsidR="00000000" w:rsidRPr="00000000">
        <w:rPr>
          <w:sz w:val="20"/>
          <w:szCs w:val="20"/>
          <w:rtl w:val="0"/>
        </w:rPr>
        <w:t xml:space="preserve">Exclusive commercial arrangements; </w:t>
      </w:r>
    </w:p>
    <w:p w:rsidR="00000000" w:rsidDel="00000000" w:rsidP="00000000" w:rsidRDefault="00000000" w:rsidRPr="00000000" w14:paraId="00000092">
      <w:pPr>
        <w:numPr>
          <w:ilvl w:val="0"/>
          <w:numId w:val="42"/>
        </w:numPr>
        <w:tabs>
          <w:tab w:val="left" w:leader="none" w:pos="6540"/>
        </w:tabs>
        <w:ind w:left="720" w:hanging="360"/>
        <w:jc w:val="both"/>
        <w:rPr/>
      </w:pPr>
      <w:r w:rsidDel="00000000" w:rsidR="00000000" w:rsidRPr="00000000">
        <w:rPr>
          <w:sz w:val="20"/>
          <w:szCs w:val="20"/>
          <w:rtl w:val="0"/>
        </w:rPr>
        <w:t xml:space="preserve">Financing agreements linking operational decisions to third parties. </w:t>
      </w:r>
    </w:p>
    <w:p w:rsidR="00000000" w:rsidDel="00000000" w:rsidP="00000000" w:rsidRDefault="00000000" w:rsidRPr="00000000" w14:paraId="00000093">
      <w:pPr>
        <w:tabs>
          <w:tab w:val="left" w:leader="none" w:pos="6540"/>
        </w:tabs>
        <w:jc w:val="both"/>
        <w:rPr>
          <w:b w:val="1"/>
          <w:bCs w:val="1"/>
          <w:sz w:val="20"/>
          <w:szCs w:val="20"/>
        </w:rPr>
      </w:pPr>
      <w:r w:rsidDel="00000000" w:rsidR="00000000" w:rsidRPr="00000000">
        <w:rPr>
          <w:b w:val="1"/>
          <w:bCs w:val="1"/>
          <w:sz w:val="20"/>
          <w:szCs w:val="20"/>
          <w:rtl w:val="0"/>
        </w:rPr>
        <w:t xml:space="preserve">Financial Dependence </w:t>
      </w:r>
    </w:p>
    <w:p w:rsidR="00000000" w:rsidDel="00000000" w:rsidP="00000000" w:rsidRDefault="00000000" w:rsidRPr="00000000" w14:paraId="00000094">
      <w:pPr>
        <w:tabs>
          <w:tab w:val="left" w:leader="none" w:pos="6540"/>
        </w:tabs>
        <w:jc w:val="both"/>
        <w:rPr>
          <w:sz w:val="20"/>
          <w:szCs w:val="20"/>
        </w:rPr>
      </w:pPr>
      <w:r w:rsidDel="00000000" w:rsidR="00000000" w:rsidRPr="00000000">
        <w:rPr>
          <w:sz w:val="20"/>
          <w:szCs w:val="20"/>
          <w:rtl w:val="0"/>
        </w:rPr>
        <w:t xml:space="preserve">The assessment may consider whether the applicant's ability to operate depends substantially on funding sources capable of influencing strategic decisions. </w:t>
      </w:r>
    </w:p>
    <w:p w:rsidR="00000000" w:rsidDel="00000000" w:rsidP="00000000" w:rsidRDefault="00000000" w:rsidRPr="00000000" w14:paraId="00000095">
      <w:pPr>
        <w:pStyle w:val="Heading2"/>
        <w:ind w:left="576" w:hanging="576"/>
        <w:rPr/>
      </w:pPr>
      <w:r w:rsidDel="00000000" w:rsidR="00000000" w:rsidRPr="00000000">
        <w:rPr>
          <w:rtl w:val="0"/>
        </w:rPr>
        <w:t xml:space="preserve">Step 5 - Risk Classification </w:t>
      </w:r>
    </w:p>
    <w:p w:rsidR="00000000" w:rsidDel="00000000" w:rsidP="00000000" w:rsidRDefault="00000000" w:rsidRPr="00000000" w14:paraId="00000096">
      <w:pPr>
        <w:tabs>
          <w:tab w:val="left" w:leader="none" w:pos="6540"/>
        </w:tabs>
        <w:jc w:val="both"/>
        <w:rPr>
          <w:sz w:val="20"/>
          <w:szCs w:val="20"/>
        </w:rPr>
      </w:pPr>
      <w:r w:rsidDel="00000000" w:rsidR="00000000" w:rsidRPr="00000000">
        <w:rPr>
          <w:sz w:val="20"/>
          <w:szCs w:val="20"/>
          <w:rtl w:val="0"/>
        </w:rPr>
        <w:t xml:space="preserve">Following completion of the ownership and control assessment, applicants shall be classified according to the level of risk identified. </w:t>
      </w:r>
    </w:p>
    <w:p w:rsidR="00000000" w:rsidDel="00000000" w:rsidP="00000000" w:rsidRDefault="00000000" w:rsidRPr="00000000" w14:paraId="00000097">
      <w:pPr>
        <w:tabs>
          <w:tab w:val="left" w:leader="none" w:pos="6540"/>
        </w:tabs>
        <w:jc w:val="both"/>
        <w:rPr>
          <w:b w:val="1"/>
          <w:bCs w:val="1"/>
          <w:sz w:val="20"/>
          <w:szCs w:val="20"/>
        </w:rPr>
      </w:pPr>
      <w:r w:rsidDel="00000000" w:rsidR="00000000" w:rsidRPr="00000000">
        <w:rPr>
          <w:b w:val="1"/>
          <w:bCs w:val="1"/>
          <w:sz w:val="20"/>
          <w:szCs w:val="20"/>
          <w:rtl w:val="0"/>
        </w:rPr>
        <w:t xml:space="preserve">Low-Risk Applicants </w:t>
      </w:r>
    </w:p>
    <w:p w:rsidR="00000000" w:rsidDel="00000000" w:rsidP="00000000" w:rsidRDefault="00000000" w:rsidRPr="00000000" w14:paraId="00000098">
      <w:pPr>
        <w:tabs>
          <w:tab w:val="left" w:leader="none" w:pos="6540"/>
        </w:tabs>
        <w:jc w:val="both"/>
        <w:rPr>
          <w:sz w:val="20"/>
          <w:szCs w:val="20"/>
        </w:rPr>
      </w:pPr>
      <w:r w:rsidDel="00000000" w:rsidR="00000000" w:rsidRPr="00000000">
        <w:rPr>
          <w:sz w:val="20"/>
          <w:szCs w:val="20"/>
          <w:rtl w:val="0"/>
        </w:rPr>
        <w:t xml:space="preserve">Low-risk cases typically exhibit: </w:t>
      </w:r>
    </w:p>
    <w:p w:rsidR="00000000" w:rsidDel="00000000" w:rsidP="00000000" w:rsidRDefault="00000000" w:rsidRPr="00000000" w14:paraId="00000099">
      <w:pPr>
        <w:numPr>
          <w:ilvl w:val="0"/>
          <w:numId w:val="43"/>
        </w:numPr>
        <w:tabs>
          <w:tab w:val="left" w:leader="none" w:pos="6540"/>
        </w:tabs>
        <w:ind w:left="720" w:hanging="360"/>
        <w:jc w:val="both"/>
        <w:rPr/>
      </w:pPr>
      <w:r w:rsidDel="00000000" w:rsidR="00000000" w:rsidRPr="00000000">
        <w:rPr>
          <w:sz w:val="20"/>
          <w:szCs w:val="20"/>
          <w:rtl w:val="0"/>
        </w:rPr>
        <w:t xml:space="preserve">Transparent ownership structures; </w:t>
      </w:r>
    </w:p>
    <w:p w:rsidR="00000000" w:rsidDel="00000000" w:rsidP="00000000" w:rsidRDefault="00000000" w:rsidRPr="00000000" w14:paraId="0000009A">
      <w:pPr>
        <w:numPr>
          <w:ilvl w:val="0"/>
          <w:numId w:val="44"/>
        </w:numPr>
        <w:tabs>
          <w:tab w:val="left" w:leader="none" w:pos="6540"/>
        </w:tabs>
        <w:ind w:left="720" w:hanging="360"/>
        <w:jc w:val="both"/>
        <w:rPr/>
      </w:pPr>
      <w:r w:rsidDel="00000000" w:rsidR="00000000" w:rsidRPr="00000000">
        <w:rPr>
          <w:sz w:val="20"/>
          <w:szCs w:val="20"/>
          <w:rtl w:val="0"/>
        </w:rPr>
        <w:t xml:space="preserve">EU or otherwise eligible ownership; </w:t>
      </w:r>
    </w:p>
    <w:p w:rsidR="00000000" w:rsidDel="00000000" w:rsidP="00000000" w:rsidRDefault="00000000" w:rsidRPr="00000000" w14:paraId="0000009B">
      <w:pPr>
        <w:numPr>
          <w:ilvl w:val="0"/>
          <w:numId w:val="45"/>
        </w:numPr>
        <w:tabs>
          <w:tab w:val="left" w:leader="none" w:pos="6540"/>
        </w:tabs>
        <w:ind w:left="720" w:hanging="360"/>
        <w:jc w:val="both"/>
        <w:rPr/>
      </w:pPr>
      <w:r w:rsidDel="00000000" w:rsidR="00000000" w:rsidRPr="00000000">
        <w:rPr>
          <w:sz w:val="20"/>
          <w:szCs w:val="20"/>
          <w:rtl w:val="0"/>
        </w:rPr>
        <w:t xml:space="preserve">No evidence of external strategic influence; </w:t>
      </w:r>
    </w:p>
    <w:p w:rsidR="00000000" w:rsidDel="00000000" w:rsidP="00000000" w:rsidRDefault="00000000" w:rsidRPr="00000000" w14:paraId="0000009C">
      <w:pPr>
        <w:numPr>
          <w:ilvl w:val="0"/>
          <w:numId w:val="46"/>
        </w:numPr>
        <w:tabs>
          <w:tab w:val="left" w:leader="none" w:pos="6540"/>
        </w:tabs>
        <w:ind w:left="720" w:hanging="360"/>
        <w:jc w:val="both"/>
        <w:rPr/>
      </w:pPr>
      <w:r w:rsidDel="00000000" w:rsidR="00000000" w:rsidRPr="00000000">
        <w:rPr>
          <w:sz w:val="20"/>
          <w:szCs w:val="20"/>
          <w:rtl w:val="0"/>
        </w:rPr>
        <w:t xml:space="preserve">No significant control rights held by non-eligible entities. </w:t>
      </w:r>
    </w:p>
    <w:p w:rsidR="00000000" w:rsidDel="00000000" w:rsidP="00000000" w:rsidRDefault="00000000" w:rsidRPr="00000000" w14:paraId="0000009D">
      <w:pPr>
        <w:tabs>
          <w:tab w:val="left" w:leader="none" w:pos="6540"/>
        </w:tabs>
        <w:jc w:val="both"/>
        <w:rPr>
          <w:sz w:val="20"/>
          <w:szCs w:val="20"/>
        </w:rPr>
      </w:pPr>
      <w:r w:rsidDel="00000000" w:rsidR="00000000" w:rsidRPr="00000000">
        <w:rPr>
          <w:b w:val="1"/>
          <w:bCs w:val="1"/>
          <w:sz w:val="20"/>
          <w:szCs w:val="20"/>
          <w:rtl w:val="0"/>
        </w:rPr>
        <w:t xml:space="preserve">Outcome:</w:t>
      </w:r>
      <w:r w:rsidDel="00000000" w:rsidR="00000000" w:rsidRPr="00000000">
        <w:rPr>
          <w:sz w:val="20"/>
          <w:szCs w:val="20"/>
          <w:rtl w:val="0"/>
        </w:rPr>
        <w:t xml:space="preserve"> Applicant considered eligible. </w:t>
      </w:r>
    </w:p>
    <w:p w:rsidR="00000000" w:rsidDel="00000000" w:rsidP="00000000" w:rsidRDefault="00000000" w:rsidRPr="00000000" w14:paraId="0000009E">
      <w:pPr>
        <w:tabs>
          <w:tab w:val="left" w:leader="none" w:pos="6540"/>
        </w:tabs>
        <w:jc w:val="both"/>
        <w:rPr>
          <w:b w:val="1"/>
          <w:bCs w:val="1"/>
          <w:sz w:val="20"/>
          <w:szCs w:val="20"/>
        </w:rPr>
      </w:pPr>
      <w:r w:rsidDel="00000000" w:rsidR="00000000" w:rsidRPr="00000000">
        <w:rPr>
          <w:b w:val="1"/>
          <w:bCs w:val="1"/>
          <w:sz w:val="20"/>
          <w:szCs w:val="20"/>
          <w:rtl w:val="0"/>
        </w:rPr>
        <w:t xml:space="preserve">Medium-Risk Applicants </w:t>
      </w:r>
    </w:p>
    <w:p w:rsidR="00000000" w:rsidDel="00000000" w:rsidP="00000000" w:rsidRDefault="00000000" w:rsidRPr="00000000" w14:paraId="0000009F">
      <w:pPr>
        <w:tabs>
          <w:tab w:val="left" w:leader="none" w:pos="6540"/>
        </w:tabs>
        <w:jc w:val="both"/>
        <w:rPr>
          <w:sz w:val="20"/>
          <w:szCs w:val="20"/>
        </w:rPr>
      </w:pPr>
      <w:r w:rsidDel="00000000" w:rsidR="00000000" w:rsidRPr="00000000">
        <w:rPr>
          <w:sz w:val="20"/>
          <w:szCs w:val="20"/>
          <w:rtl w:val="0"/>
        </w:rPr>
        <w:t xml:space="preserve">Medium-risk cases may involve: </w:t>
      </w:r>
    </w:p>
    <w:p w:rsidR="00000000" w:rsidDel="00000000" w:rsidP="00000000" w:rsidRDefault="00000000" w:rsidRPr="00000000" w14:paraId="000000A0">
      <w:pPr>
        <w:numPr>
          <w:ilvl w:val="0"/>
          <w:numId w:val="47"/>
        </w:numPr>
        <w:tabs>
          <w:tab w:val="left" w:leader="none" w:pos="6540"/>
        </w:tabs>
        <w:ind w:left="720" w:hanging="360"/>
        <w:jc w:val="both"/>
        <w:rPr/>
      </w:pPr>
      <w:r w:rsidDel="00000000" w:rsidR="00000000" w:rsidRPr="00000000">
        <w:rPr>
          <w:sz w:val="20"/>
          <w:szCs w:val="20"/>
          <w:rtl w:val="0"/>
        </w:rPr>
        <w:t xml:space="preserve">Minority foreign ownership; </w:t>
      </w:r>
    </w:p>
    <w:p w:rsidR="00000000" w:rsidDel="00000000" w:rsidP="00000000" w:rsidRDefault="00000000" w:rsidRPr="00000000" w14:paraId="000000A1">
      <w:pPr>
        <w:numPr>
          <w:ilvl w:val="0"/>
          <w:numId w:val="48"/>
        </w:numPr>
        <w:tabs>
          <w:tab w:val="left" w:leader="none" w:pos="6540"/>
        </w:tabs>
        <w:ind w:left="720" w:hanging="360"/>
        <w:jc w:val="both"/>
        <w:rPr/>
      </w:pPr>
      <w:r w:rsidDel="00000000" w:rsidR="00000000" w:rsidRPr="00000000">
        <w:rPr>
          <w:sz w:val="20"/>
          <w:szCs w:val="20"/>
          <w:rtl w:val="0"/>
        </w:rPr>
        <w:t xml:space="preserve">Complex ownership structures requiring clarification; </w:t>
      </w:r>
    </w:p>
    <w:p w:rsidR="00000000" w:rsidDel="00000000" w:rsidP="00000000" w:rsidRDefault="00000000" w:rsidRPr="00000000" w14:paraId="000000A2">
      <w:pPr>
        <w:numPr>
          <w:ilvl w:val="0"/>
          <w:numId w:val="49"/>
        </w:numPr>
        <w:tabs>
          <w:tab w:val="left" w:leader="none" w:pos="6540"/>
        </w:tabs>
        <w:ind w:left="720" w:hanging="360"/>
        <w:jc w:val="both"/>
        <w:rPr/>
      </w:pPr>
      <w:r w:rsidDel="00000000" w:rsidR="00000000" w:rsidRPr="00000000">
        <w:rPr>
          <w:sz w:val="20"/>
          <w:szCs w:val="20"/>
          <w:rtl w:val="0"/>
        </w:rPr>
        <w:t xml:space="preserve">Venture-capital participation; </w:t>
      </w:r>
    </w:p>
    <w:p w:rsidR="00000000" w:rsidDel="00000000" w:rsidP="00000000" w:rsidRDefault="00000000" w:rsidRPr="00000000" w14:paraId="000000A3">
      <w:pPr>
        <w:numPr>
          <w:ilvl w:val="0"/>
          <w:numId w:val="50"/>
        </w:numPr>
        <w:tabs>
          <w:tab w:val="left" w:leader="none" w:pos="6540"/>
        </w:tabs>
        <w:ind w:left="720" w:hanging="360"/>
        <w:jc w:val="both"/>
        <w:rPr/>
      </w:pPr>
      <w:r w:rsidDel="00000000" w:rsidR="00000000" w:rsidRPr="00000000">
        <w:rPr>
          <w:sz w:val="20"/>
          <w:szCs w:val="20"/>
          <w:rtl w:val="0"/>
        </w:rPr>
        <w:t xml:space="preserve">Limited governance rights held by external stakeholders. </w:t>
      </w:r>
    </w:p>
    <w:p w:rsidR="00000000" w:rsidDel="00000000" w:rsidP="00000000" w:rsidRDefault="00000000" w:rsidRPr="00000000" w14:paraId="000000A4">
      <w:pPr>
        <w:tabs>
          <w:tab w:val="left" w:leader="none" w:pos="6540"/>
        </w:tabs>
        <w:jc w:val="both"/>
        <w:rPr>
          <w:sz w:val="20"/>
          <w:szCs w:val="20"/>
        </w:rPr>
      </w:pPr>
      <w:r w:rsidDel="00000000" w:rsidR="00000000" w:rsidRPr="00000000">
        <w:rPr>
          <w:sz w:val="20"/>
          <w:szCs w:val="20"/>
          <w:rtl w:val="0"/>
        </w:rPr>
        <w:t xml:space="preserve">In such cases, the Consortium may request additional evidence or explanations before reaching a final determination. </w:t>
      </w:r>
    </w:p>
    <w:p w:rsidR="00000000" w:rsidDel="00000000" w:rsidP="00000000" w:rsidRDefault="00000000" w:rsidRPr="00000000" w14:paraId="000000A5">
      <w:pPr>
        <w:tabs>
          <w:tab w:val="left" w:leader="none" w:pos="6540"/>
        </w:tabs>
        <w:jc w:val="both"/>
        <w:rPr>
          <w:sz w:val="20"/>
          <w:szCs w:val="20"/>
        </w:rPr>
      </w:pPr>
      <w:r w:rsidDel="00000000" w:rsidR="00000000" w:rsidRPr="00000000">
        <w:rPr>
          <w:b w:val="1"/>
          <w:bCs w:val="1"/>
          <w:sz w:val="20"/>
          <w:szCs w:val="20"/>
          <w:rtl w:val="0"/>
        </w:rPr>
        <w:t xml:space="preserve">Outcome:</w:t>
      </w:r>
      <w:r w:rsidDel="00000000" w:rsidR="00000000" w:rsidRPr="00000000">
        <w:rPr>
          <w:sz w:val="20"/>
          <w:szCs w:val="20"/>
          <w:rtl w:val="0"/>
        </w:rPr>
        <w:t xml:space="preserve"> Eligibility subject to clarification. </w:t>
      </w:r>
    </w:p>
    <w:p w:rsidR="00000000" w:rsidDel="00000000" w:rsidP="00000000" w:rsidRDefault="00000000" w:rsidRPr="00000000" w14:paraId="000000A6">
      <w:pPr>
        <w:tabs>
          <w:tab w:val="left" w:leader="none" w:pos="6540"/>
        </w:tabs>
        <w:jc w:val="both"/>
        <w:rPr>
          <w:b w:val="1"/>
          <w:bCs w:val="1"/>
          <w:sz w:val="20"/>
          <w:szCs w:val="20"/>
        </w:rPr>
      </w:pPr>
      <w:r w:rsidDel="00000000" w:rsidR="00000000" w:rsidRPr="00000000">
        <w:rPr>
          <w:b w:val="1"/>
          <w:bCs w:val="1"/>
          <w:sz w:val="20"/>
          <w:szCs w:val="20"/>
          <w:rtl w:val="0"/>
        </w:rPr>
        <w:t xml:space="preserve">High-Risk Applicants </w:t>
      </w:r>
    </w:p>
    <w:p w:rsidR="00000000" w:rsidDel="00000000" w:rsidP="00000000" w:rsidRDefault="00000000" w:rsidRPr="00000000" w14:paraId="000000A7">
      <w:pPr>
        <w:tabs>
          <w:tab w:val="left" w:leader="none" w:pos="6540"/>
        </w:tabs>
        <w:jc w:val="both"/>
        <w:rPr>
          <w:sz w:val="20"/>
          <w:szCs w:val="20"/>
        </w:rPr>
      </w:pPr>
      <w:r w:rsidDel="00000000" w:rsidR="00000000" w:rsidRPr="00000000">
        <w:rPr>
          <w:sz w:val="20"/>
          <w:szCs w:val="20"/>
          <w:rtl w:val="0"/>
        </w:rPr>
        <w:t xml:space="preserve">High-risk cases are those where there is credible evidence that a non-eligible entity may exercise direct or indirect decisive influence over the applicant. </w:t>
      </w:r>
    </w:p>
    <w:p w:rsidR="00000000" w:rsidDel="00000000" w:rsidP="00000000" w:rsidRDefault="00000000" w:rsidRPr="00000000" w14:paraId="000000A8">
      <w:pPr>
        <w:tabs>
          <w:tab w:val="left" w:leader="none" w:pos="6540"/>
        </w:tabs>
        <w:jc w:val="both"/>
        <w:rPr>
          <w:sz w:val="20"/>
          <w:szCs w:val="20"/>
        </w:rPr>
      </w:pPr>
      <w:r w:rsidDel="00000000" w:rsidR="00000000" w:rsidRPr="00000000">
        <w:rPr>
          <w:sz w:val="20"/>
          <w:szCs w:val="20"/>
          <w:rtl w:val="0"/>
        </w:rPr>
        <w:t xml:space="preserve">Examples may include: </w:t>
      </w:r>
    </w:p>
    <w:p w:rsidR="00000000" w:rsidDel="00000000" w:rsidP="00000000" w:rsidRDefault="00000000" w:rsidRPr="00000000" w14:paraId="000000A9">
      <w:pPr>
        <w:numPr>
          <w:ilvl w:val="0"/>
          <w:numId w:val="51"/>
        </w:numPr>
        <w:tabs>
          <w:tab w:val="left" w:leader="none" w:pos="6540"/>
        </w:tabs>
        <w:ind w:left="720" w:hanging="360"/>
        <w:jc w:val="both"/>
        <w:rPr/>
      </w:pPr>
      <w:r w:rsidDel="00000000" w:rsidR="00000000" w:rsidRPr="00000000">
        <w:rPr>
          <w:sz w:val="20"/>
          <w:szCs w:val="20"/>
          <w:rtl w:val="0"/>
        </w:rPr>
        <w:t xml:space="preserve">Majority ownership by non-eligible entities; </w:t>
      </w:r>
    </w:p>
    <w:p w:rsidR="00000000" w:rsidDel="00000000" w:rsidP="00000000" w:rsidRDefault="00000000" w:rsidRPr="00000000" w14:paraId="000000AA">
      <w:pPr>
        <w:numPr>
          <w:ilvl w:val="0"/>
          <w:numId w:val="52"/>
        </w:numPr>
        <w:tabs>
          <w:tab w:val="left" w:leader="none" w:pos="6540"/>
        </w:tabs>
        <w:ind w:left="720" w:hanging="360"/>
        <w:jc w:val="both"/>
        <w:rPr/>
      </w:pPr>
      <w:r w:rsidDel="00000000" w:rsidR="00000000" w:rsidRPr="00000000">
        <w:rPr>
          <w:sz w:val="20"/>
          <w:szCs w:val="20"/>
          <w:rtl w:val="0"/>
        </w:rPr>
        <w:t xml:space="preserve">Rights to appoint management; </w:t>
      </w:r>
    </w:p>
    <w:p w:rsidR="00000000" w:rsidDel="00000000" w:rsidP="00000000" w:rsidRDefault="00000000" w:rsidRPr="00000000" w14:paraId="000000AB">
      <w:pPr>
        <w:numPr>
          <w:ilvl w:val="0"/>
          <w:numId w:val="53"/>
        </w:numPr>
        <w:tabs>
          <w:tab w:val="left" w:leader="none" w:pos="6540"/>
        </w:tabs>
        <w:ind w:left="720" w:hanging="360"/>
        <w:jc w:val="both"/>
        <w:rPr/>
      </w:pPr>
      <w:r w:rsidDel="00000000" w:rsidR="00000000" w:rsidRPr="00000000">
        <w:rPr>
          <w:sz w:val="20"/>
          <w:szCs w:val="20"/>
          <w:rtl w:val="0"/>
        </w:rPr>
        <w:t xml:space="preserve">Strategic veto powers; </w:t>
      </w:r>
    </w:p>
    <w:p w:rsidR="00000000" w:rsidDel="00000000" w:rsidP="00000000" w:rsidRDefault="00000000" w:rsidRPr="00000000" w14:paraId="000000AC">
      <w:pPr>
        <w:numPr>
          <w:ilvl w:val="0"/>
          <w:numId w:val="54"/>
        </w:numPr>
        <w:tabs>
          <w:tab w:val="left" w:leader="none" w:pos="6540"/>
        </w:tabs>
        <w:ind w:left="720" w:hanging="360"/>
        <w:jc w:val="both"/>
        <w:rPr/>
      </w:pPr>
      <w:r w:rsidDel="00000000" w:rsidR="00000000" w:rsidRPr="00000000">
        <w:rPr>
          <w:sz w:val="20"/>
          <w:szCs w:val="20"/>
          <w:rtl w:val="0"/>
        </w:rPr>
        <w:t xml:space="preserve">Significant contractual or financial control arrangements; </w:t>
      </w:r>
    </w:p>
    <w:p w:rsidR="00000000" w:rsidDel="00000000" w:rsidP="00000000" w:rsidRDefault="00000000" w:rsidRPr="00000000" w14:paraId="000000AD">
      <w:pPr>
        <w:numPr>
          <w:ilvl w:val="0"/>
          <w:numId w:val="55"/>
        </w:numPr>
        <w:tabs>
          <w:tab w:val="left" w:leader="none" w:pos="6540"/>
        </w:tabs>
        <w:ind w:left="720" w:hanging="360"/>
        <w:jc w:val="both"/>
        <w:rPr/>
      </w:pPr>
      <w:r w:rsidDel="00000000" w:rsidR="00000000" w:rsidRPr="00000000">
        <w:rPr>
          <w:sz w:val="20"/>
          <w:szCs w:val="20"/>
          <w:rtl w:val="0"/>
        </w:rPr>
        <w:t xml:space="preserve">Inability to identify ultimate beneficial owners. </w:t>
      </w:r>
    </w:p>
    <w:p w:rsidR="00000000" w:rsidDel="00000000" w:rsidP="00000000" w:rsidRDefault="00000000" w:rsidRPr="00000000" w14:paraId="000000AE">
      <w:pPr>
        <w:tabs>
          <w:tab w:val="left" w:leader="none" w:pos="6540"/>
        </w:tabs>
        <w:jc w:val="both"/>
        <w:rPr>
          <w:sz w:val="20"/>
          <w:szCs w:val="20"/>
        </w:rPr>
      </w:pPr>
      <w:r w:rsidDel="00000000" w:rsidR="00000000" w:rsidRPr="00000000">
        <w:rPr>
          <w:b w:val="1"/>
          <w:bCs w:val="1"/>
          <w:sz w:val="20"/>
          <w:szCs w:val="20"/>
          <w:rtl w:val="0"/>
        </w:rPr>
        <w:t xml:space="preserve">Outcome:</w:t>
      </w:r>
      <w:r w:rsidDel="00000000" w:rsidR="00000000" w:rsidRPr="00000000">
        <w:rPr>
          <w:sz w:val="20"/>
          <w:szCs w:val="20"/>
          <w:rtl w:val="0"/>
        </w:rPr>
        <w:t xml:space="preserve"> Enhanced review and potential exclusion. </w:t>
      </w:r>
    </w:p>
    <w:p w:rsidR="00000000" w:rsidDel="00000000" w:rsidP="00000000" w:rsidRDefault="00000000" w:rsidRPr="00000000" w14:paraId="000000AF">
      <w:pPr>
        <w:pStyle w:val="Heading1"/>
        <w:numPr>
          <w:ilvl w:val="0"/>
          <w:numId w:val="41"/>
        </w:numPr>
        <w:ind w:left="432" w:hanging="432"/>
        <w:rPr>
          <w:rFonts w:ascii="Arial" w:cs="Arial" w:eastAsia="Arial" w:hAnsi="Arial"/>
        </w:rPr>
      </w:pPr>
      <w:r w:rsidDel="00000000" w:rsidR="00000000" w:rsidRPr="00000000">
        <w:rPr>
          <w:rFonts w:ascii="Arial" w:cs="Arial" w:eastAsia="Arial" w:hAnsi="Arial"/>
          <w:color w:val="233cff"/>
          <w:sz w:val="40"/>
          <w:szCs w:val="40"/>
          <w:rtl w:val="0"/>
        </w:rPr>
        <w:t xml:space="preserve">Enhanced Review Process</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B0">
      <w:pPr>
        <w:tabs>
          <w:tab w:val="left" w:leader="none" w:pos="6540"/>
        </w:tabs>
        <w:jc w:val="both"/>
        <w:rPr>
          <w:sz w:val="20"/>
          <w:szCs w:val="20"/>
        </w:rPr>
      </w:pPr>
      <w:r w:rsidDel="00000000" w:rsidR="00000000" w:rsidRPr="00000000">
        <w:rPr>
          <w:sz w:val="20"/>
          <w:szCs w:val="20"/>
          <w:rtl w:val="0"/>
        </w:rPr>
        <w:t xml:space="preserve">Where ownership or control risks cannot be adequately assessed through the initial declaration, the Consortium may initiate an enhanced review. </w:t>
      </w:r>
    </w:p>
    <w:p w:rsidR="00000000" w:rsidDel="00000000" w:rsidP="00000000" w:rsidRDefault="00000000" w:rsidRPr="00000000" w14:paraId="000000B1">
      <w:pPr>
        <w:tabs>
          <w:tab w:val="left" w:leader="none" w:pos="6540"/>
        </w:tabs>
        <w:jc w:val="both"/>
        <w:rPr>
          <w:sz w:val="20"/>
          <w:szCs w:val="20"/>
        </w:rPr>
      </w:pPr>
      <w:r w:rsidDel="00000000" w:rsidR="00000000" w:rsidRPr="00000000">
        <w:rPr>
          <w:sz w:val="20"/>
          <w:szCs w:val="20"/>
          <w:rtl w:val="0"/>
        </w:rPr>
        <w:t xml:space="preserve">Applicants may be requested to provide supporting documentation, including: </w:t>
      </w:r>
    </w:p>
    <w:p w:rsidR="00000000" w:rsidDel="00000000" w:rsidP="00000000" w:rsidRDefault="00000000" w:rsidRPr="00000000" w14:paraId="000000B2">
      <w:pPr>
        <w:numPr>
          <w:ilvl w:val="0"/>
          <w:numId w:val="56"/>
        </w:numPr>
        <w:tabs>
          <w:tab w:val="left" w:leader="none" w:pos="6540"/>
        </w:tabs>
        <w:ind w:left="720" w:hanging="360"/>
        <w:jc w:val="both"/>
        <w:rPr/>
      </w:pPr>
      <w:r w:rsidDel="00000000" w:rsidR="00000000" w:rsidRPr="00000000">
        <w:rPr>
          <w:sz w:val="20"/>
          <w:szCs w:val="20"/>
          <w:rtl w:val="0"/>
        </w:rPr>
        <w:t xml:space="preserve">Corporate group structure charts; </w:t>
      </w:r>
    </w:p>
    <w:p w:rsidR="00000000" w:rsidDel="00000000" w:rsidP="00000000" w:rsidRDefault="00000000" w:rsidRPr="00000000" w14:paraId="000000B3">
      <w:pPr>
        <w:numPr>
          <w:ilvl w:val="0"/>
          <w:numId w:val="57"/>
        </w:numPr>
        <w:tabs>
          <w:tab w:val="left" w:leader="none" w:pos="6540"/>
        </w:tabs>
        <w:ind w:left="720" w:hanging="360"/>
        <w:jc w:val="both"/>
        <w:rPr/>
      </w:pPr>
      <w:r w:rsidDel="00000000" w:rsidR="00000000" w:rsidRPr="00000000">
        <w:rPr>
          <w:sz w:val="20"/>
          <w:szCs w:val="20"/>
          <w:rtl w:val="0"/>
        </w:rPr>
        <w:t xml:space="preserve">Shareholder registers; </w:t>
      </w:r>
    </w:p>
    <w:p w:rsidR="00000000" w:rsidDel="00000000" w:rsidP="00000000" w:rsidRDefault="00000000" w:rsidRPr="00000000" w14:paraId="000000B4">
      <w:pPr>
        <w:numPr>
          <w:ilvl w:val="0"/>
          <w:numId w:val="58"/>
        </w:numPr>
        <w:tabs>
          <w:tab w:val="left" w:leader="none" w:pos="6540"/>
        </w:tabs>
        <w:ind w:left="720" w:hanging="360"/>
        <w:jc w:val="both"/>
        <w:rPr/>
      </w:pPr>
      <w:r w:rsidDel="00000000" w:rsidR="00000000" w:rsidRPr="00000000">
        <w:rPr>
          <w:sz w:val="20"/>
          <w:szCs w:val="20"/>
          <w:rtl w:val="0"/>
        </w:rPr>
        <w:t xml:space="preserve">Articles of association; </w:t>
      </w:r>
    </w:p>
    <w:p w:rsidR="00000000" w:rsidDel="00000000" w:rsidP="00000000" w:rsidRDefault="00000000" w:rsidRPr="00000000" w14:paraId="000000B5">
      <w:pPr>
        <w:numPr>
          <w:ilvl w:val="0"/>
          <w:numId w:val="59"/>
        </w:numPr>
        <w:tabs>
          <w:tab w:val="left" w:leader="none" w:pos="6540"/>
        </w:tabs>
        <w:ind w:left="720" w:hanging="360"/>
        <w:jc w:val="both"/>
        <w:rPr/>
      </w:pPr>
      <w:r w:rsidDel="00000000" w:rsidR="00000000" w:rsidRPr="00000000">
        <w:rPr>
          <w:sz w:val="20"/>
          <w:szCs w:val="20"/>
          <w:rtl w:val="0"/>
        </w:rPr>
        <w:t xml:space="preserve">Board composition records; </w:t>
      </w:r>
    </w:p>
    <w:p w:rsidR="00000000" w:rsidDel="00000000" w:rsidP="00000000" w:rsidRDefault="00000000" w:rsidRPr="00000000" w14:paraId="000000B6">
      <w:pPr>
        <w:numPr>
          <w:ilvl w:val="0"/>
          <w:numId w:val="60"/>
        </w:numPr>
        <w:tabs>
          <w:tab w:val="left" w:leader="none" w:pos="6540"/>
        </w:tabs>
        <w:ind w:left="720" w:hanging="360"/>
        <w:jc w:val="both"/>
        <w:rPr/>
      </w:pPr>
      <w:r w:rsidDel="00000000" w:rsidR="00000000" w:rsidRPr="00000000">
        <w:rPr>
          <w:sz w:val="20"/>
          <w:szCs w:val="20"/>
          <w:rtl w:val="0"/>
        </w:rPr>
        <w:t xml:space="preserve">Shareholder agreements; </w:t>
      </w:r>
    </w:p>
    <w:p w:rsidR="00000000" w:rsidDel="00000000" w:rsidP="00000000" w:rsidRDefault="00000000" w:rsidRPr="00000000" w14:paraId="000000B7">
      <w:pPr>
        <w:numPr>
          <w:ilvl w:val="0"/>
          <w:numId w:val="61"/>
        </w:numPr>
        <w:tabs>
          <w:tab w:val="left" w:leader="none" w:pos="6540"/>
        </w:tabs>
        <w:ind w:left="720" w:hanging="360"/>
        <w:jc w:val="both"/>
        <w:rPr/>
      </w:pPr>
      <w:r w:rsidDel="00000000" w:rsidR="00000000" w:rsidRPr="00000000">
        <w:rPr>
          <w:sz w:val="20"/>
          <w:szCs w:val="20"/>
          <w:rtl w:val="0"/>
        </w:rPr>
        <w:t xml:space="preserve">Ultimate beneficial owner declarations; </w:t>
      </w:r>
    </w:p>
    <w:p w:rsidR="00000000" w:rsidDel="00000000" w:rsidP="00000000" w:rsidRDefault="00000000" w:rsidRPr="00000000" w14:paraId="000000B8">
      <w:pPr>
        <w:numPr>
          <w:ilvl w:val="0"/>
          <w:numId w:val="63"/>
        </w:numPr>
        <w:tabs>
          <w:tab w:val="left" w:leader="none" w:pos="6540"/>
        </w:tabs>
        <w:ind w:left="720" w:hanging="360"/>
        <w:jc w:val="both"/>
        <w:rPr/>
      </w:pPr>
      <w:r w:rsidDel="00000000" w:rsidR="00000000" w:rsidRPr="00000000">
        <w:rPr>
          <w:sz w:val="20"/>
          <w:szCs w:val="20"/>
          <w:rtl w:val="0"/>
        </w:rPr>
        <w:t xml:space="preserve">Annual reports; </w:t>
      </w:r>
    </w:p>
    <w:p w:rsidR="00000000" w:rsidDel="00000000" w:rsidP="00000000" w:rsidRDefault="00000000" w:rsidRPr="00000000" w14:paraId="000000B9">
      <w:pPr>
        <w:numPr>
          <w:ilvl w:val="0"/>
          <w:numId w:val="64"/>
        </w:numPr>
        <w:tabs>
          <w:tab w:val="left" w:leader="none" w:pos="6540"/>
        </w:tabs>
        <w:ind w:left="720" w:hanging="360"/>
        <w:jc w:val="both"/>
        <w:rPr/>
      </w:pPr>
      <w:r w:rsidDel="00000000" w:rsidR="00000000" w:rsidRPr="00000000">
        <w:rPr>
          <w:sz w:val="20"/>
          <w:szCs w:val="20"/>
          <w:rtl w:val="0"/>
        </w:rPr>
        <w:t xml:space="preserve">Additional documentation demonstrating independence from non-eligible entities. </w:t>
      </w:r>
    </w:p>
    <w:p w:rsidR="00000000" w:rsidDel="00000000" w:rsidP="00000000" w:rsidRDefault="00000000" w:rsidRPr="00000000" w14:paraId="000000BA">
      <w:pPr>
        <w:tabs>
          <w:tab w:val="left" w:leader="none" w:pos="6540"/>
        </w:tabs>
        <w:jc w:val="both"/>
        <w:rPr>
          <w:sz w:val="20"/>
          <w:szCs w:val="20"/>
        </w:rPr>
      </w:pPr>
      <w:r w:rsidDel="00000000" w:rsidR="00000000" w:rsidRPr="00000000">
        <w:rPr>
          <w:sz w:val="20"/>
          <w:szCs w:val="20"/>
          <w:rtl w:val="0"/>
        </w:rPr>
        <w:t xml:space="preserve">The Consortium may also request written explanations or clarifications concerning specific ownership or governance arrangements. </w:t>
      </w:r>
    </w:p>
    <w:p w:rsidR="00000000" w:rsidDel="00000000" w:rsidP="00000000" w:rsidRDefault="00000000" w:rsidRPr="00000000" w14:paraId="000000BB">
      <w:pPr>
        <w:tabs>
          <w:tab w:val="left" w:leader="none" w:pos="6540"/>
        </w:tabs>
        <w:jc w:val="both"/>
        <w:rPr>
          <w:sz w:val="20"/>
          <w:szCs w:val="20"/>
        </w:rPr>
      </w:pPr>
      <w:r w:rsidDel="00000000" w:rsidR="00000000" w:rsidRPr="00000000">
        <w:rPr>
          <w:sz w:val="20"/>
          <w:szCs w:val="20"/>
          <w:rtl w:val="0"/>
        </w:rPr>
        <w:t xml:space="preserve">Failure to provide requested information within the prescribed timeframe may result in the applicant being deemed ineligible. </w:t>
      </w:r>
    </w:p>
    <w:p w:rsidR="00000000" w:rsidDel="00000000" w:rsidP="00000000" w:rsidRDefault="00000000" w:rsidRPr="00000000" w14:paraId="000000BC">
      <w:pPr>
        <w:pStyle w:val="Heading1"/>
        <w:numPr>
          <w:ilvl w:val="0"/>
          <w:numId w:val="41"/>
        </w:numPr>
        <w:ind w:left="432" w:hanging="432"/>
        <w:rPr/>
      </w:pPr>
      <w:r w:rsidDel="00000000" w:rsidR="00000000" w:rsidRPr="00000000">
        <w:rPr>
          <w:rtl w:val="0"/>
        </w:rPr>
        <w:t xml:space="preserve">Decision-Making </w:t>
      </w:r>
    </w:p>
    <w:p w:rsidR="00000000" w:rsidDel="00000000" w:rsidP="00000000" w:rsidRDefault="00000000" w:rsidRPr="00000000" w14:paraId="000000BD">
      <w:pPr>
        <w:tabs>
          <w:tab w:val="left" w:leader="none" w:pos="6540"/>
        </w:tabs>
        <w:jc w:val="both"/>
        <w:rPr>
          <w:sz w:val="20"/>
          <w:szCs w:val="20"/>
        </w:rPr>
      </w:pPr>
      <w:r w:rsidDel="00000000" w:rsidR="00000000" w:rsidRPr="00000000">
        <w:rPr>
          <w:sz w:val="20"/>
          <w:szCs w:val="20"/>
          <w:rtl w:val="0"/>
        </w:rPr>
        <w:t xml:space="preserve">Based on the evidence available, the Consortium shall issue one of the following decisions: </w:t>
      </w:r>
    </w:p>
    <w:p w:rsidR="00000000" w:rsidDel="00000000" w:rsidP="00000000" w:rsidRDefault="00000000" w:rsidRPr="00000000" w14:paraId="000000BE">
      <w:pPr>
        <w:tabs>
          <w:tab w:val="left" w:leader="none" w:pos="6540"/>
        </w:tabs>
        <w:jc w:val="both"/>
        <w:rPr>
          <w:b w:val="1"/>
          <w:bCs w:val="1"/>
          <w:sz w:val="20"/>
          <w:szCs w:val="20"/>
        </w:rPr>
      </w:pPr>
      <w:r w:rsidDel="00000000" w:rsidR="00000000" w:rsidRPr="00000000">
        <w:rPr>
          <w:b w:val="1"/>
          <w:bCs w:val="1"/>
          <w:sz w:val="20"/>
          <w:szCs w:val="20"/>
          <w:rtl w:val="0"/>
        </w:rPr>
        <w:t xml:space="preserve">Eligible </w:t>
      </w:r>
    </w:p>
    <w:p w:rsidR="00000000" w:rsidDel="00000000" w:rsidP="00000000" w:rsidRDefault="00000000" w:rsidRPr="00000000" w14:paraId="000000BF">
      <w:pPr>
        <w:tabs>
          <w:tab w:val="left" w:leader="none" w:pos="6540"/>
        </w:tabs>
        <w:jc w:val="both"/>
        <w:rPr>
          <w:sz w:val="20"/>
          <w:szCs w:val="20"/>
        </w:rPr>
      </w:pPr>
      <w:r w:rsidDel="00000000" w:rsidR="00000000" w:rsidRPr="00000000">
        <w:rPr>
          <w:sz w:val="20"/>
          <w:szCs w:val="20"/>
          <w:rtl w:val="0"/>
        </w:rPr>
        <w:t xml:space="preserve">The assessment concludes that the applicant is not subject to ownership or control arrangements that affect its eligibility. </w:t>
      </w:r>
    </w:p>
    <w:p w:rsidR="00000000" w:rsidDel="00000000" w:rsidP="00000000" w:rsidRDefault="00000000" w:rsidRPr="00000000" w14:paraId="000000C0">
      <w:pPr>
        <w:tabs>
          <w:tab w:val="left" w:leader="none" w:pos="6540"/>
        </w:tabs>
        <w:jc w:val="both"/>
        <w:rPr>
          <w:b w:val="1"/>
          <w:bCs w:val="1"/>
          <w:sz w:val="20"/>
          <w:szCs w:val="20"/>
        </w:rPr>
      </w:pPr>
      <w:r w:rsidDel="00000000" w:rsidR="00000000" w:rsidRPr="00000000">
        <w:rPr>
          <w:b w:val="1"/>
          <w:bCs w:val="1"/>
          <w:sz w:val="20"/>
          <w:szCs w:val="20"/>
          <w:rtl w:val="0"/>
        </w:rPr>
        <w:t xml:space="preserve">Eligible Subject to Clarification </w:t>
      </w:r>
    </w:p>
    <w:p w:rsidR="00000000" w:rsidDel="00000000" w:rsidP="00000000" w:rsidRDefault="00000000" w:rsidRPr="00000000" w14:paraId="000000C1">
      <w:pPr>
        <w:tabs>
          <w:tab w:val="left" w:leader="none" w:pos="6540"/>
        </w:tabs>
        <w:jc w:val="both"/>
        <w:rPr>
          <w:sz w:val="20"/>
          <w:szCs w:val="20"/>
        </w:rPr>
      </w:pPr>
      <w:r w:rsidDel="00000000" w:rsidR="00000000" w:rsidRPr="00000000">
        <w:rPr>
          <w:sz w:val="20"/>
          <w:szCs w:val="20"/>
          <w:rtl w:val="0"/>
        </w:rPr>
        <w:t xml:space="preserve">Initial concerns were identified but satisfactorily addressed through additional information or evidence. </w:t>
      </w:r>
    </w:p>
    <w:p w:rsidR="00000000" w:rsidDel="00000000" w:rsidP="00000000" w:rsidRDefault="00000000" w:rsidRPr="00000000" w14:paraId="000000C2">
      <w:pPr>
        <w:tabs>
          <w:tab w:val="left" w:leader="none" w:pos="6540"/>
        </w:tabs>
        <w:jc w:val="both"/>
        <w:rPr>
          <w:b w:val="1"/>
          <w:bCs w:val="1"/>
          <w:sz w:val="20"/>
          <w:szCs w:val="20"/>
        </w:rPr>
      </w:pPr>
      <w:r w:rsidDel="00000000" w:rsidR="00000000" w:rsidRPr="00000000">
        <w:rPr>
          <w:b w:val="1"/>
          <w:bCs w:val="1"/>
          <w:sz w:val="20"/>
          <w:szCs w:val="20"/>
          <w:rtl w:val="0"/>
        </w:rPr>
        <w:t xml:space="preserve">Ineligible </w:t>
      </w:r>
    </w:p>
    <w:p w:rsidR="00000000" w:rsidDel="00000000" w:rsidP="00000000" w:rsidRDefault="00000000" w:rsidRPr="00000000" w14:paraId="000000C3">
      <w:pPr>
        <w:tabs>
          <w:tab w:val="left" w:leader="none" w:pos="6540"/>
        </w:tabs>
        <w:jc w:val="both"/>
        <w:rPr>
          <w:sz w:val="20"/>
          <w:szCs w:val="20"/>
        </w:rPr>
      </w:pPr>
      <w:r w:rsidDel="00000000" w:rsidR="00000000" w:rsidRPr="00000000">
        <w:rPr>
          <w:sz w:val="20"/>
          <w:szCs w:val="20"/>
          <w:rtl w:val="0"/>
        </w:rPr>
        <w:t xml:space="preserve">The assessment establishes that the applicant is directly or indirectly controlled by a non-eligible entity, or that sufficient evidence has not been provided to demonstrate compliance with the applicable eligibility requirements. </w:t>
      </w:r>
    </w:p>
    <w:p w:rsidR="00000000" w:rsidDel="00000000" w:rsidP="00000000" w:rsidRDefault="00000000" w:rsidRPr="00000000" w14:paraId="000000C4">
      <w:pPr>
        <w:tabs>
          <w:tab w:val="left" w:leader="none" w:pos="6540"/>
        </w:tabs>
        <w:jc w:val="both"/>
        <w:rPr>
          <w:sz w:val="20"/>
          <w:szCs w:val="20"/>
        </w:rPr>
      </w:pPr>
      <w:r w:rsidDel="00000000" w:rsidR="00000000" w:rsidRPr="00000000">
        <w:rPr>
          <w:sz w:val="20"/>
          <w:szCs w:val="20"/>
          <w:rtl w:val="0"/>
        </w:rPr>
        <w:t xml:space="preserve">The rationale for each decision shall be documented and retained within the Open Call records. </w:t>
      </w:r>
    </w:p>
    <w:p w:rsidR="00000000" w:rsidDel="00000000" w:rsidP="00000000" w:rsidRDefault="00000000" w:rsidRPr="00000000" w14:paraId="000000C5">
      <w:pPr>
        <w:pStyle w:val="Heading1"/>
        <w:numPr>
          <w:ilvl w:val="0"/>
          <w:numId w:val="41"/>
        </w:numPr>
        <w:ind w:left="432" w:hanging="432"/>
        <w:rPr/>
      </w:pPr>
      <w:r w:rsidDel="00000000" w:rsidR="00000000" w:rsidRPr="00000000">
        <w:rPr>
          <w:rtl w:val="0"/>
        </w:rPr>
        <w:t xml:space="preserve">Roles and Responsibilities </w:t>
      </w:r>
    </w:p>
    <w:p w:rsidR="00000000" w:rsidDel="00000000" w:rsidP="00000000" w:rsidRDefault="00000000" w:rsidRPr="00000000" w14:paraId="000000C6">
      <w:pPr>
        <w:tabs>
          <w:tab w:val="left" w:leader="none" w:pos="6540"/>
        </w:tabs>
        <w:jc w:val="both"/>
        <w:rPr>
          <w:b w:val="1"/>
          <w:bCs w:val="1"/>
          <w:sz w:val="20"/>
          <w:szCs w:val="20"/>
        </w:rPr>
      </w:pPr>
      <w:r w:rsidDel="00000000" w:rsidR="00000000" w:rsidRPr="00000000">
        <w:rPr>
          <w:b w:val="1"/>
          <w:bCs w:val="1"/>
          <w:sz w:val="20"/>
          <w:szCs w:val="20"/>
          <w:rtl w:val="0"/>
        </w:rPr>
        <w:t xml:space="preserve">Applicants </w:t>
      </w:r>
    </w:p>
    <w:p w:rsidR="00000000" w:rsidDel="00000000" w:rsidP="00000000" w:rsidRDefault="00000000" w:rsidRPr="00000000" w14:paraId="000000C7">
      <w:pPr>
        <w:tabs>
          <w:tab w:val="left" w:leader="none" w:pos="6540"/>
        </w:tabs>
        <w:jc w:val="both"/>
        <w:rPr>
          <w:sz w:val="20"/>
          <w:szCs w:val="20"/>
        </w:rPr>
      </w:pPr>
      <w:r w:rsidDel="00000000" w:rsidR="00000000" w:rsidRPr="00000000">
        <w:rPr>
          <w:sz w:val="20"/>
          <w:szCs w:val="20"/>
          <w:rtl w:val="0"/>
        </w:rPr>
        <w:t xml:space="preserve">Applicants are responsible for providing complete, accurate, and truthful information regarding their ownership and governance arrangements. They must promptly notify the Consortium of any changes that may affect their ownership or control status. </w:t>
      </w:r>
    </w:p>
    <w:p w:rsidR="00000000" w:rsidDel="00000000" w:rsidP="00000000" w:rsidRDefault="00000000" w:rsidRPr="00000000" w14:paraId="000000C8">
      <w:pPr>
        <w:tabs>
          <w:tab w:val="left" w:leader="none" w:pos="6540"/>
        </w:tabs>
        <w:jc w:val="both"/>
        <w:rPr>
          <w:b w:val="1"/>
          <w:bCs w:val="1"/>
          <w:sz w:val="20"/>
          <w:szCs w:val="20"/>
        </w:rPr>
      </w:pPr>
      <w:r w:rsidDel="00000000" w:rsidR="00000000" w:rsidRPr="00000000">
        <w:rPr>
          <w:b w:val="1"/>
          <w:bCs w:val="1"/>
          <w:sz w:val="20"/>
          <w:szCs w:val="20"/>
          <w:rtl w:val="0"/>
        </w:rPr>
        <w:t xml:space="preserve">Open Call Management Team </w:t>
      </w:r>
    </w:p>
    <w:p w:rsidR="00000000" w:rsidDel="00000000" w:rsidP="00000000" w:rsidRDefault="00000000" w:rsidRPr="00000000" w14:paraId="000000C9">
      <w:pPr>
        <w:tabs>
          <w:tab w:val="left" w:leader="none" w:pos="6540"/>
        </w:tabs>
        <w:jc w:val="both"/>
        <w:rPr>
          <w:sz w:val="20"/>
          <w:szCs w:val="20"/>
        </w:rPr>
      </w:pPr>
      <w:r w:rsidDel="00000000" w:rsidR="00000000" w:rsidRPr="00000000">
        <w:rPr>
          <w:sz w:val="20"/>
          <w:szCs w:val="20"/>
          <w:rtl w:val="0"/>
        </w:rPr>
        <w:t xml:space="preserve">The Open Call Management Team is responsible for administering the assessment process, reviewing declarations, requesting clarifications, maintaining records, and preparing eligibility recommendations. </w:t>
      </w:r>
    </w:p>
    <w:p w:rsidR="00000000" w:rsidDel="00000000" w:rsidP="00000000" w:rsidRDefault="00000000" w:rsidRPr="00000000" w14:paraId="000000CA">
      <w:pPr>
        <w:tabs>
          <w:tab w:val="left" w:leader="none" w:pos="6540"/>
        </w:tabs>
        <w:jc w:val="both"/>
        <w:rPr>
          <w:b w:val="1"/>
          <w:bCs w:val="1"/>
          <w:sz w:val="20"/>
          <w:szCs w:val="20"/>
        </w:rPr>
      </w:pPr>
      <w:r w:rsidDel="00000000" w:rsidR="00000000" w:rsidRPr="00000000">
        <w:rPr>
          <w:b w:val="1"/>
          <w:bCs w:val="1"/>
          <w:sz w:val="20"/>
          <w:szCs w:val="20"/>
          <w:rtl w:val="0"/>
        </w:rPr>
        <w:t xml:space="preserve">Evaluation Committee </w:t>
      </w:r>
    </w:p>
    <w:p w:rsidR="00000000" w:rsidDel="00000000" w:rsidP="00000000" w:rsidRDefault="00000000" w:rsidRPr="00000000" w14:paraId="000000CB">
      <w:pPr>
        <w:tabs>
          <w:tab w:val="left" w:leader="none" w:pos="6540"/>
        </w:tabs>
        <w:jc w:val="both"/>
        <w:rPr>
          <w:sz w:val="20"/>
          <w:szCs w:val="20"/>
        </w:rPr>
      </w:pPr>
      <w:r w:rsidDel="00000000" w:rsidR="00000000" w:rsidRPr="00000000">
        <w:rPr>
          <w:sz w:val="20"/>
          <w:szCs w:val="20"/>
          <w:rtl w:val="0"/>
        </w:rPr>
        <w:t xml:space="preserve">Where ownership or control concerns cannot be resolved through routine assessment, the Evaluation Committee shall review the evidence and confirm the final eligibility determination. </w:t>
      </w:r>
    </w:p>
    <w:p w:rsidR="00000000" w:rsidDel="00000000" w:rsidP="00000000" w:rsidRDefault="00000000" w:rsidRPr="00000000" w14:paraId="000000CC">
      <w:pPr>
        <w:pStyle w:val="Heading1"/>
        <w:numPr>
          <w:ilvl w:val="0"/>
          <w:numId w:val="41"/>
        </w:numPr>
        <w:ind w:left="432" w:hanging="432"/>
        <w:rPr/>
      </w:pPr>
      <w:r w:rsidDel="00000000" w:rsidR="00000000" w:rsidRPr="00000000">
        <w:rPr>
          <w:rtl w:val="0"/>
        </w:rPr>
        <w:t xml:space="preserve">Record Keeping and Confidentiality </w:t>
      </w:r>
    </w:p>
    <w:p w:rsidR="00000000" w:rsidDel="00000000" w:rsidP="00000000" w:rsidRDefault="00000000" w:rsidRPr="00000000" w14:paraId="000000CD">
      <w:pPr>
        <w:tabs>
          <w:tab w:val="left" w:leader="none" w:pos="6540"/>
        </w:tabs>
        <w:jc w:val="both"/>
        <w:rPr>
          <w:sz w:val="20"/>
          <w:szCs w:val="20"/>
        </w:rPr>
      </w:pPr>
      <w:r w:rsidDel="00000000" w:rsidR="00000000" w:rsidRPr="00000000">
        <w:rPr>
          <w:sz w:val="20"/>
          <w:szCs w:val="20"/>
          <w:rtl w:val="0"/>
        </w:rPr>
        <w:t xml:space="preserve">All information collected under this procedure shall be treated as confidential and processed in accordance with applicable data protection and confidentiality obligations. </w:t>
      </w:r>
    </w:p>
    <w:p w:rsidR="00000000" w:rsidDel="00000000" w:rsidP="00000000" w:rsidRDefault="00000000" w:rsidRPr="00000000" w14:paraId="000000CE">
      <w:pPr>
        <w:tabs>
          <w:tab w:val="left" w:leader="none" w:pos="6540"/>
        </w:tabs>
        <w:jc w:val="both"/>
        <w:rPr>
          <w:sz w:val="20"/>
          <w:szCs w:val="20"/>
        </w:rPr>
      </w:pPr>
      <w:r w:rsidDel="00000000" w:rsidR="00000000" w:rsidRPr="00000000">
        <w:rPr>
          <w:sz w:val="20"/>
          <w:szCs w:val="20"/>
          <w:rtl w:val="0"/>
        </w:rPr>
        <w:t xml:space="preserve">The Consortium shall maintain a complete assessment file for each applicant containing: </w:t>
      </w:r>
    </w:p>
    <w:p w:rsidR="00000000" w:rsidDel="00000000" w:rsidP="00000000" w:rsidRDefault="00000000" w:rsidRPr="00000000" w14:paraId="000000CF">
      <w:pPr>
        <w:numPr>
          <w:ilvl w:val="0"/>
          <w:numId w:val="65"/>
        </w:numPr>
        <w:tabs>
          <w:tab w:val="left" w:leader="none" w:pos="6540"/>
        </w:tabs>
        <w:ind w:left="720" w:hanging="360"/>
        <w:jc w:val="both"/>
        <w:rPr/>
      </w:pPr>
      <w:r w:rsidDel="00000000" w:rsidR="00000000" w:rsidRPr="00000000">
        <w:rPr>
          <w:sz w:val="20"/>
          <w:szCs w:val="20"/>
          <w:rtl w:val="0"/>
        </w:rPr>
        <w:t xml:space="preserve">Ownership and Control Declarations; </w:t>
      </w:r>
    </w:p>
    <w:p w:rsidR="00000000" w:rsidDel="00000000" w:rsidP="00000000" w:rsidRDefault="00000000" w:rsidRPr="00000000" w14:paraId="000000D0">
      <w:pPr>
        <w:numPr>
          <w:ilvl w:val="0"/>
          <w:numId w:val="66"/>
        </w:numPr>
        <w:tabs>
          <w:tab w:val="left" w:leader="none" w:pos="6540"/>
        </w:tabs>
        <w:ind w:left="720" w:hanging="360"/>
        <w:jc w:val="both"/>
        <w:rPr/>
      </w:pPr>
      <w:r w:rsidDel="00000000" w:rsidR="00000000" w:rsidRPr="00000000">
        <w:rPr>
          <w:sz w:val="20"/>
          <w:szCs w:val="20"/>
          <w:rtl w:val="0"/>
        </w:rPr>
        <w:t xml:space="preserve">Supporting documentation; </w:t>
      </w:r>
    </w:p>
    <w:p w:rsidR="00000000" w:rsidDel="00000000" w:rsidP="00000000" w:rsidRDefault="00000000" w:rsidRPr="00000000" w14:paraId="000000D1">
      <w:pPr>
        <w:numPr>
          <w:ilvl w:val="0"/>
          <w:numId w:val="67"/>
        </w:numPr>
        <w:tabs>
          <w:tab w:val="left" w:leader="none" w:pos="6540"/>
        </w:tabs>
        <w:ind w:left="720" w:hanging="360"/>
        <w:jc w:val="both"/>
        <w:rPr/>
      </w:pPr>
      <w:r w:rsidDel="00000000" w:rsidR="00000000" w:rsidRPr="00000000">
        <w:rPr>
          <w:sz w:val="20"/>
          <w:szCs w:val="20"/>
          <w:rtl w:val="0"/>
        </w:rPr>
        <w:t xml:space="preserve">Assessment notes and findings; </w:t>
      </w:r>
    </w:p>
    <w:p w:rsidR="00000000" w:rsidDel="00000000" w:rsidP="00000000" w:rsidRDefault="00000000" w:rsidRPr="00000000" w14:paraId="000000D2">
      <w:pPr>
        <w:numPr>
          <w:ilvl w:val="0"/>
          <w:numId w:val="68"/>
        </w:numPr>
        <w:tabs>
          <w:tab w:val="left" w:leader="none" w:pos="6540"/>
        </w:tabs>
        <w:ind w:left="720" w:hanging="360"/>
        <w:jc w:val="both"/>
        <w:rPr/>
      </w:pPr>
      <w:r w:rsidDel="00000000" w:rsidR="00000000" w:rsidRPr="00000000">
        <w:rPr>
          <w:sz w:val="20"/>
          <w:szCs w:val="20"/>
          <w:rtl w:val="0"/>
        </w:rPr>
        <w:t xml:space="preserve">Clarification requests and responses; </w:t>
      </w:r>
    </w:p>
    <w:p w:rsidR="00000000" w:rsidDel="00000000" w:rsidP="00000000" w:rsidRDefault="00000000" w:rsidRPr="00000000" w14:paraId="000000D3">
      <w:pPr>
        <w:numPr>
          <w:ilvl w:val="0"/>
          <w:numId w:val="69"/>
        </w:numPr>
        <w:tabs>
          <w:tab w:val="left" w:leader="none" w:pos="6540"/>
        </w:tabs>
        <w:ind w:left="720" w:hanging="360"/>
        <w:jc w:val="both"/>
        <w:rPr/>
      </w:pPr>
      <w:r w:rsidDel="00000000" w:rsidR="00000000" w:rsidRPr="00000000">
        <w:rPr>
          <w:sz w:val="20"/>
          <w:szCs w:val="20"/>
          <w:rtl w:val="0"/>
        </w:rPr>
        <w:t xml:space="preserve">Final eligibility decisions. </w:t>
      </w:r>
    </w:p>
    <w:p w:rsidR="00000000" w:rsidDel="00000000" w:rsidP="00000000" w:rsidRDefault="00000000" w:rsidRPr="00000000" w14:paraId="000000D4">
      <w:pPr>
        <w:tabs>
          <w:tab w:val="left" w:leader="none" w:pos="6540"/>
        </w:tabs>
        <w:jc w:val="both"/>
        <w:rPr>
          <w:sz w:val="20"/>
          <w:szCs w:val="20"/>
        </w:rPr>
      </w:pPr>
      <w:r w:rsidDel="00000000" w:rsidR="00000000" w:rsidRPr="00000000">
        <w:rPr>
          <w:sz w:val="20"/>
          <w:szCs w:val="20"/>
          <w:rtl w:val="0"/>
        </w:rPr>
        <w:t xml:space="preserve">Records shall be retained for the period required under the CIPHER Grant Agreement and any applicable audit, monitoring, or verification obligations. </w:t>
      </w:r>
    </w:p>
    <w:p w:rsidR="00000000" w:rsidDel="00000000" w:rsidP="00000000" w:rsidRDefault="00000000" w:rsidRPr="00000000" w14:paraId="000000D5">
      <w:pPr>
        <w:pStyle w:val="Heading1"/>
        <w:ind w:left="432" w:hanging="432"/>
        <w:rPr/>
      </w:pPr>
      <w:r w:rsidDel="00000000" w:rsidR="00000000" w:rsidRPr="00000000">
        <w:rPr>
          <w:rtl w:val="0"/>
        </w:rPr>
        <w:t xml:space="preserve">Annex A - Simplified Assessment Checklist </w:t>
      </w:r>
    </w:p>
    <w:tbl>
      <w:tblPr>
        <w:tblStyle w:val="Table1"/>
        <w:tblW w:w="9016.0" w:type="dxa"/>
        <w:jc w:val="left"/>
        <w:tblBorders>
          <w:top w:color="9292ce" w:space="0" w:sz="4" w:val="single"/>
          <w:left w:color="9292ce" w:space="0" w:sz="4" w:val="single"/>
          <w:bottom w:color="9292ce" w:space="0" w:sz="4" w:val="single"/>
          <w:right w:color="9292ce" w:space="0" w:sz="4" w:val="single"/>
          <w:insideH w:color="9292ce" w:space="0" w:sz="4" w:val="single"/>
          <w:insideV w:color="9292ce" w:space="0" w:sz="4" w:val="single"/>
        </w:tblBorders>
        <w:tblLayout w:type="fixed"/>
        <w:tblLook w:val="04A0"/>
      </w:tblPr>
      <w:tblGrid>
        <w:gridCol w:w="7381"/>
        <w:gridCol w:w="823"/>
        <w:gridCol w:w="812"/>
        <w:tblGridChange w:id="0">
          <w:tblGrid>
            <w:gridCol w:w="7381"/>
            <w:gridCol w:w="823"/>
            <w:gridCol w:w="812"/>
          </w:tblGrid>
        </w:tblGridChange>
      </w:tblGrid>
      <w:tr>
        <w:trPr>
          <w:cantSplit w:val="0"/>
          <w:trHeight w:val="300" w:hRule="atLeast"/>
          <w:tblHeader w:val="0"/>
        </w:trPr>
        <w:tc>
          <w:tcPr/>
          <w:p w:rsidR="00000000" w:rsidDel="00000000" w:rsidP="00000000" w:rsidRDefault="00000000" w:rsidRPr="00000000" w14:paraId="000000D6">
            <w:pPr>
              <w:tabs>
                <w:tab w:val="left" w:leader="none" w:pos="6540"/>
              </w:tabs>
              <w:spacing w:after="160" w:line="259" w:lineRule="auto"/>
              <w:jc w:val="both"/>
              <w:rPr>
                <w:sz w:val="20"/>
                <w:szCs w:val="20"/>
              </w:rPr>
            </w:pPr>
            <w:r w:rsidDel="00000000" w:rsidR="00000000" w:rsidRPr="00000000">
              <w:rPr>
                <w:sz w:val="20"/>
                <w:szCs w:val="20"/>
                <w:rtl w:val="0"/>
              </w:rPr>
              <w:t xml:space="preserve">Assessment Question </w:t>
            </w:r>
          </w:p>
        </w:tc>
        <w:tc>
          <w:tcPr/>
          <w:p w:rsidR="00000000" w:rsidDel="00000000" w:rsidP="00000000" w:rsidRDefault="00000000" w:rsidRPr="00000000" w14:paraId="000000D7">
            <w:pPr>
              <w:tabs>
                <w:tab w:val="left" w:leader="none" w:pos="6540"/>
              </w:tabs>
              <w:spacing w:after="160" w:line="259" w:lineRule="auto"/>
              <w:jc w:val="both"/>
              <w:rPr>
                <w:sz w:val="20"/>
                <w:szCs w:val="20"/>
              </w:rPr>
            </w:pPr>
            <w:r w:rsidDel="00000000" w:rsidR="00000000" w:rsidRPr="00000000">
              <w:rPr>
                <w:sz w:val="20"/>
                <w:szCs w:val="20"/>
                <w:rtl w:val="0"/>
              </w:rPr>
              <w:t xml:space="preserve">Yes </w:t>
            </w:r>
          </w:p>
        </w:tc>
        <w:tc>
          <w:tcPr/>
          <w:p w:rsidR="00000000" w:rsidDel="00000000" w:rsidP="00000000" w:rsidRDefault="00000000" w:rsidRPr="00000000" w14:paraId="000000D8">
            <w:pPr>
              <w:tabs>
                <w:tab w:val="left" w:leader="none" w:pos="6540"/>
              </w:tabs>
              <w:spacing w:after="160" w:line="259" w:lineRule="auto"/>
              <w:jc w:val="both"/>
              <w:rPr>
                <w:sz w:val="20"/>
                <w:szCs w:val="20"/>
              </w:rPr>
            </w:pPr>
            <w:r w:rsidDel="00000000" w:rsidR="00000000" w:rsidRPr="00000000">
              <w:rPr>
                <w:sz w:val="20"/>
                <w:szCs w:val="20"/>
                <w:rtl w:val="0"/>
              </w:rPr>
              <w:t xml:space="preserve">No </w:t>
            </w:r>
          </w:p>
        </w:tc>
      </w:tr>
      <w:tr>
        <w:trPr>
          <w:cantSplit w:val="0"/>
          <w:trHeight w:val="300" w:hRule="atLeast"/>
          <w:tblHeader w:val="0"/>
        </w:trPr>
        <w:tc>
          <w:tcPr/>
          <w:p w:rsidR="00000000" w:rsidDel="00000000" w:rsidP="00000000" w:rsidRDefault="00000000" w:rsidRPr="00000000" w14:paraId="000000D9">
            <w:pPr>
              <w:tabs>
                <w:tab w:val="left" w:leader="none" w:pos="6540"/>
              </w:tabs>
              <w:spacing w:after="160" w:line="259" w:lineRule="auto"/>
              <w:jc w:val="both"/>
              <w:rPr>
                <w:sz w:val="20"/>
                <w:szCs w:val="20"/>
              </w:rPr>
            </w:pPr>
            <w:r w:rsidDel="00000000" w:rsidR="00000000" w:rsidRPr="00000000">
              <w:rPr>
                <w:sz w:val="20"/>
                <w:szCs w:val="20"/>
                <w:rtl w:val="0"/>
              </w:rPr>
              <w:t xml:space="preserve">Applicant established in an eligible country? </w:t>
            </w:r>
          </w:p>
        </w:tc>
        <w:tc>
          <w:tcPr/>
          <w:p w:rsidR="00000000" w:rsidDel="00000000" w:rsidP="00000000" w:rsidRDefault="00000000" w:rsidRPr="00000000" w14:paraId="000000DA">
            <w:pPr>
              <w:tabs>
                <w:tab w:val="left" w:leader="none" w:pos="6540"/>
              </w:tabs>
              <w:spacing w:after="160" w:line="259" w:lineRule="auto"/>
              <w:jc w:val="both"/>
              <w:rPr>
                <w:sz w:val="20"/>
                <w:szCs w:val="20"/>
              </w:rPr>
            </w:pPr>
            <w:sdt>
              <w:sdtPr>
                <w:id w:val="718546881"/>
                <w:tag w:val="goog_rdk_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c>
          <w:tcPr/>
          <w:p w:rsidR="00000000" w:rsidDel="00000000" w:rsidP="00000000" w:rsidRDefault="00000000" w:rsidRPr="00000000" w14:paraId="000000DB">
            <w:pPr>
              <w:tabs>
                <w:tab w:val="left" w:leader="none" w:pos="6540"/>
              </w:tabs>
              <w:spacing w:after="160" w:line="259" w:lineRule="auto"/>
              <w:jc w:val="both"/>
              <w:rPr>
                <w:sz w:val="20"/>
                <w:szCs w:val="20"/>
              </w:rPr>
            </w:pPr>
            <w:sdt>
              <w:sdtPr>
                <w:id w:val="1251128697"/>
                <w:tag w:val="goog_rdk_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r>
      <w:tr>
        <w:trPr>
          <w:cantSplit w:val="0"/>
          <w:trHeight w:val="300" w:hRule="atLeast"/>
          <w:tblHeader w:val="0"/>
        </w:trPr>
        <w:tc>
          <w:tcPr/>
          <w:p w:rsidR="00000000" w:rsidDel="00000000" w:rsidP="00000000" w:rsidRDefault="00000000" w:rsidRPr="00000000" w14:paraId="000000DC">
            <w:pPr>
              <w:tabs>
                <w:tab w:val="left" w:leader="none" w:pos="6540"/>
              </w:tabs>
              <w:spacing w:after="160" w:line="259" w:lineRule="auto"/>
              <w:jc w:val="both"/>
              <w:rPr>
                <w:sz w:val="20"/>
                <w:szCs w:val="20"/>
              </w:rPr>
            </w:pPr>
            <w:r w:rsidDel="00000000" w:rsidR="00000000" w:rsidRPr="00000000">
              <w:rPr>
                <w:sz w:val="20"/>
                <w:szCs w:val="20"/>
                <w:rtl w:val="0"/>
              </w:rPr>
              <w:t xml:space="preserve">Ownership declaration submitted and complete? </w:t>
            </w:r>
          </w:p>
        </w:tc>
        <w:tc>
          <w:tcPr/>
          <w:p w:rsidR="00000000" w:rsidDel="00000000" w:rsidP="00000000" w:rsidRDefault="00000000" w:rsidRPr="00000000" w14:paraId="000000DD">
            <w:pPr>
              <w:tabs>
                <w:tab w:val="left" w:leader="none" w:pos="6540"/>
              </w:tabs>
              <w:spacing w:after="160" w:line="259" w:lineRule="auto"/>
              <w:jc w:val="both"/>
              <w:rPr>
                <w:sz w:val="20"/>
                <w:szCs w:val="20"/>
              </w:rPr>
            </w:pPr>
            <w:sdt>
              <w:sdtPr>
                <w:id w:val="552084353"/>
                <w:tag w:val="goog_rdk_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c>
          <w:tcPr/>
          <w:p w:rsidR="00000000" w:rsidDel="00000000" w:rsidP="00000000" w:rsidRDefault="00000000" w:rsidRPr="00000000" w14:paraId="000000DE">
            <w:pPr>
              <w:tabs>
                <w:tab w:val="left" w:leader="none" w:pos="6540"/>
              </w:tabs>
              <w:spacing w:after="160" w:line="259" w:lineRule="auto"/>
              <w:jc w:val="both"/>
              <w:rPr>
                <w:sz w:val="20"/>
                <w:szCs w:val="20"/>
              </w:rPr>
            </w:pPr>
            <w:sdt>
              <w:sdtPr>
                <w:id w:val="-47888238"/>
                <w:tag w:val="goog_rdk_3"/>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r>
      <w:tr>
        <w:trPr>
          <w:cantSplit w:val="0"/>
          <w:trHeight w:val="300" w:hRule="atLeast"/>
          <w:tblHeader w:val="0"/>
        </w:trPr>
        <w:tc>
          <w:tcPr/>
          <w:p w:rsidR="00000000" w:rsidDel="00000000" w:rsidP="00000000" w:rsidRDefault="00000000" w:rsidRPr="00000000" w14:paraId="000000DF">
            <w:pPr>
              <w:tabs>
                <w:tab w:val="left" w:leader="none" w:pos="6540"/>
              </w:tabs>
              <w:spacing w:after="160" w:line="259" w:lineRule="auto"/>
              <w:jc w:val="both"/>
              <w:rPr>
                <w:sz w:val="20"/>
                <w:szCs w:val="20"/>
              </w:rPr>
            </w:pPr>
            <w:r w:rsidDel="00000000" w:rsidR="00000000" w:rsidRPr="00000000">
              <w:rPr>
                <w:sz w:val="20"/>
                <w:szCs w:val="20"/>
                <w:rtl w:val="0"/>
              </w:rPr>
              <w:t xml:space="preserve">Ultimate owners identified? </w:t>
            </w:r>
          </w:p>
        </w:tc>
        <w:tc>
          <w:tcPr/>
          <w:p w:rsidR="00000000" w:rsidDel="00000000" w:rsidP="00000000" w:rsidRDefault="00000000" w:rsidRPr="00000000" w14:paraId="000000E0">
            <w:pPr>
              <w:tabs>
                <w:tab w:val="left" w:leader="none" w:pos="6540"/>
              </w:tabs>
              <w:spacing w:after="160" w:line="259" w:lineRule="auto"/>
              <w:jc w:val="both"/>
              <w:rPr>
                <w:sz w:val="20"/>
                <w:szCs w:val="20"/>
              </w:rPr>
            </w:pPr>
            <w:sdt>
              <w:sdtPr>
                <w:id w:val="-355668605"/>
                <w:tag w:val="goog_rdk_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c>
          <w:tcPr/>
          <w:p w:rsidR="00000000" w:rsidDel="00000000" w:rsidP="00000000" w:rsidRDefault="00000000" w:rsidRPr="00000000" w14:paraId="000000E1">
            <w:pPr>
              <w:tabs>
                <w:tab w:val="left" w:leader="none" w:pos="6540"/>
              </w:tabs>
              <w:spacing w:after="160" w:line="259" w:lineRule="auto"/>
              <w:jc w:val="both"/>
              <w:rPr>
                <w:sz w:val="20"/>
                <w:szCs w:val="20"/>
              </w:rPr>
            </w:pPr>
            <w:sdt>
              <w:sdtPr>
                <w:id w:val="1459739553"/>
                <w:tag w:val="goog_rdk_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r>
      <w:tr>
        <w:trPr>
          <w:cantSplit w:val="0"/>
          <w:trHeight w:val="300" w:hRule="atLeast"/>
          <w:tblHeader w:val="0"/>
        </w:trPr>
        <w:tc>
          <w:tcPr/>
          <w:p w:rsidR="00000000" w:rsidDel="00000000" w:rsidP="00000000" w:rsidRDefault="00000000" w:rsidRPr="00000000" w14:paraId="000000E2">
            <w:pPr>
              <w:tabs>
                <w:tab w:val="left" w:leader="none" w:pos="6540"/>
              </w:tabs>
              <w:spacing w:after="160" w:line="259" w:lineRule="auto"/>
              <w:jc w:val="both"/>
              <w:rPr>
                <w:sz w:val="20"/>
                <w:szCs w:val="20"/>
              </w:rPr>
            </w:pPr>
            <w:r w:rsidDel="00000000" w:rsidR="00000000" w:rsidRPr="00000000">
              <w:rPr>
                <w:sz w:val="20"/>
                <w:szCs w:val="20"/>
                <w:rtl w:val="0"/>
              </w:rPr>
              <w:t xml:space="preserve">Any shareholder from a non-eligible country holding a significant ownership stake? </w:t>
            </w:r>
          </w:p>
        </w:tc>
        <w:tc>
          <w:tcPr/>
          <w:p w:rsidR="00000000" w:rsidDel="00000000" w:rsidP="00000000" w:rsidRDefault="00000000" w:rsidRPr="00000000" w14:paraId="000000E3">
            <w:pPr>
              <w:tabs>
                <w:tab w:val="left" w:leader="none" w:pos="6540"/>
              </w:tabs>
              <w:spacing w:after="160" w:line="259" w:lineRule="auto"/>
              <w:jc w:val="both"/>
              <w:rPr>
                <w:sz w:val="20"/>
                <w:szCs w:val="20"/>
              </w:rPr>
            </w:pPr>
            <w:sdt>
              <w:sdtPr>
                <w:id w:val="664975465"/>
                <w:tag w:val="goog_rdk_6"/>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c>
          <w:tcPr/>
          <w:p w:rsidR="00000000" w:rsidDel="00000000" w:rsidP="00000000" w:rsidRDefault="00000000" w:rsidRPr="00000000" w14:paraId="000000E4">
            <w:pPr>
              <w:tabs>
                <w:tab w:val="left" w:leader="none" w:pos="6540"/>
              </w:tabs>
              <w:spacing w:after="160" w:line="259" w:lineRule="auto"/>
              <w:jc w:val="both"/>
              <w:rPr>
                <w:sz w:val="20"/>
                <w:szCs w:val="20"/>
              </w:rPr>
            </w:pPr>
            <w:sdt>
              <w:sdtPr>
                <w:id w:val="1842175105"/>
                <w:tag w:val="goog_rdk_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r>
      <w:tr>
        <w:trPr>
          <w:cantSplit w:val="0"/>
          <w:trHeight w:val="300" w:hRule="atLeast"/>
          <w:tblHeader w:val="0"/>
        </w:trPr>
        <w:tc>
          <w:tcPr/>
          <w:p w:rsidR="00000000" w:rsidDel="00000000" w:rsidP="00000000" w:rsidRDefault="00000000" w:rsidRPr="00000000" w14:paraId="000000E5">
            <w:pPr>
              <w:tabs>
                <w:tab w:val="left" w:leader="none" w:pos="6540"/>
              </w:tabs>
              <w:spacing w:after="160" w:line="259" w:lineRule="auto"/>
              <w:jc w:val="both"/>
              <w:rPr>
                <w:sz w:val="20"/>
                <w:szCs w:val="20"/>
              </w:rPr>
            </w:pPr>
            <w:r w:rsidDel="00000000" w:rsidR="00000000" w:rsidRPr="00000000">
              <w:rPr>
                <w:sz w:val="20"/>
                <w:szCs w:val="20"/>
                <w:rtl w:val="0"/>
              </w:rPr>
              <w:t xml:space="preserve">Any non-eligible entity holding majority ownership? </w:t>
            </w:r>
          </w:p>
        </w:tc>
        <w:tc>
          <w:tcPr/>
          <w:p w:rsidR="00000000" w:rsidDel="00000000" w:rsidP="00000000" w:rsidRDefault="00000000" w:rsidRPr="00000000" w14:paraId="000000E6">
            <w:pPr>
              <w:tabs>
                <w:tab w:val="left" w:leader="none" w:pos="6540"/>
              </w:tabs>
              <w:spacing w:after="160" w:line="259" w:lineRule="auto"/>
              <w:jc w:val="both"/>
              <w:rPr>
                <w:sz w:val="20"/>
                <w:szCs w:val="20"/>
              </w:rPr>
            </w:pPr>
            <w:sdt>
              <w:sdtPr>
                <w:id w:val="-1402782641"/>
                <w:tag w:val="goog_rdk_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c>
          <w:tcPr/>
          <w:p w:rsidR="00000000" w:rsidDel="00000000" w:rsidP="00000000" w:rsidRDefault="00000000" w:rsidRPr="00000000" w14:paraId="000000E7">
            <w:pPr>
              <w:tabs>
                <w:tab w:val="left" w:leader="none" w:pos="6540"/>
              </w:tabs>
              <w:spacing w:after="160" w:line="259" w:lineRule="auto"/>
              <w:jc w:val="both"/>
              <w:rPr>
                <w:sz w:val="20"/>
                <w:szCs w:val="20"/>
              </w:rPr>
            </w:pPr>
            <w:sdt>
              <w:sdtPr>
                <w:id w:val="1016632129"/>
                <w:tag w:val="goog_rdk_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r>
      <w:tr>
        <w:trPr>
          <w:cantSplit w:val="0"/>
          <w:trHeight w:val="300" w:hRule="atLeast"/>
          <w:tblHeader w:val="0"/>
        </w:trPr>
        <w:tc>
          <w:tcPr/>
          <w:p w:rsidR="00000000" w:rsidDel="00000000" w:rsidP="00000000" w:rsidRDefault="00000000" w:rsidRPr="00000000" w14:paraId="000000E8">
            <w:pPr>
              <w:tabs>
                <w:tab w:val="left" w:leader="none" w:pos="6540"/>
              </w:tabs>
              <w:spacing w:after="160" w:line="259" w:lineRule="auto"/>
              <w:jc w:val="both"/>
              <w:rPr>
                <w:sz w:val="20"/>
                <w:szCs w:val="20"/>
              </w:rPr>
            </w:pPr>
            <w:r w:rsidDel="00000000" w:rsidR="00000000" w:rsidRPr="00000000">
              <w:rPr>
                <w:sz w:val="20"/>
                <w:szCs w:val="20"/>
                <w:rtl w:val="0"/>
              </w:rPr>
              <w:t xml:space="preserve">Any rights to appoint or remove management? </w:t>
            </w:r>
          </w:p>
        </w:tc>
        <w:tc>
          <w:tcPr/>
          <w:p w:rsidR="00000000" w:rsidDel="00000000" w:rsidP="00000000" w:rsidRDefault="00000000" w:rsidRPr="00000000" w14:paraId="000000E9">
            <w:pPr>
              <w:tabs>
                <w:tab w:val="left" w:leader="none" w:pos="6540"/>
              </w:tabs>
              <w:spacing w:after="160" w:line="259" w:lineRule="auto"/>
              <w:jc w:val="both"/>
              <w:rPr>
                <w:sz w:val="20"/>
                <w:szCs w:val="20"/>
              </w:rPr>
            </w:pPr>
            <w:sdt>
              <w:sdtPr>
                <w:id w:val="444207721"/>
                <w:tag w:val="goog_rdk_1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c>
          <w:tcPr/>
          <w:p w:rsidR="00000000" w:rsidDel="00000000" w:rsidP="00000000" w:rsidRDefault="00000000" w:rsidRPr="00000000" w14:paraId="000000EA">
            <w:pPr>
              <w:tabs>
                <w:tab w:val="left" w:leader="none" w:pos="6540"/>
              </w:tabs>
              <w:spacing w:after="160" w:line="259" w:lineRule="auto"/>
              <w:jc w:val="both"/>
              <w:rPr>
                <w:sz w:val="20"/>
                <w:szCs w:val="20"/>
              </w:rPr>
            </w:pPr>
            <w:sdt>
              <w:sdtPr>
                <w:id w:val="1667698651"/>
                <w:tag w:val="goog_rdk_1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r>
      <w:tr>
        <w:trPr>
          <w:cantSplit w:val="0"/>
          <w:trHeight w:val="300" w:hRule="atLeast"/>
          <w:tblHeader w:val="0"/>
        </w:trPr>
        <w:tc>
          <w:tcPr/>
          <w:p w:rsidR="00000000" w:rsidDel="00000000" w:rsidP="00000000" w:rsidRDefault="00000000" w:rsidRPr="00000000" w14:paraId="000000EB">
            <w:pPr>
              <w:tabs>
                <w:tab w:val="left" w:leader="none" w:pos="6540"/>
              </w:tabs>
              <w:spacing w:after="160" w:line="259" w:lineRule="auto"/>
              <w:jc w:val="both"/>
              <w:rPr>
                <w:sz w:val="20"/>
                <w:szCs w:val="20"/>
              </w:rPr>
            </w:pPr>
            <w:r w:rsidDel="00000000" w:rsidR="00000000" w:rsidRPr="00000000">
              <w:rPr>
                <w:sz w:val="20"/>
                <w:szCs w:val="20"/>
                <w:rtl w:val="0"/>
              </w:rPr>
              <w:t xml:space="preserve">Any special voting or veto rights? </w:t>
            </w:r>
          </w:p>
        </w:tc>
        <w:tc>
          <w:tcPr/>
          <w:p w:rsidR="00000000" w:rsidDel="00000000" w:rsidP="00000000" w:rsidRDefault="00000000" w:rsidRPr="00000000" w14:paraId="000000EC">
            <w:pPr>
              <w:tabs>
                <w:tab w:val="left" w:leader="none" w:pos="6540"/>
              </w:tabs>
              <w:spacing w:after="160" w:line="259" w:lineRule="auto"/>
              <w:jc w:val="both"/>
              <w:rPr>
                <w:sz w:val="20"/>
                <w:szCs w:val="20"/>
              </w:rPr>
            </w:pPr>
            <w:sdt>
              <w:sdtPr>
                <w:id w:val="-957373411"/>
                <w:tag w:val="goog_rdk_1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c>
          <w:tcPr/>
          <w:p w:rsidR="00000000" w:rsidDel="00000000" w:rsidP="00000000" w:rsidRDefault="00000000" w:rsidRPr="00000000" w14:paraId="000000ED">
            <w:pPr>
              <w:tabs>
                <w:tab w:val="left" w:leader="none" w:pos="6540"/>
              </w:tabs>
              <w:spacing w:after="160" w:line="259" w:lineRule="auto"/>
              <w:jc w:val="both"/>
              <w:rPr>
                <w:sz w:val="20"/>
                <w:szCs w:val="20"/>
              </w:rPr>
            </w:pPr>
            <w:sdt>
              <w:sdtPr>
                <w:id w:val="-1532375092"/>
                <w:tag w:val="goog_rdk_13"/>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r>
      <w:tr>
        <w:trPr>
          <w:cantSplit w:val="0"/>
          <w:trHeight w:val="300" w:hRule="atLeast"/>
          <w:tblHeader w:val="0"/>
        </w:trPr>
        <w:tc>
          <w:tcPr/>
          <w:p w:rsidR="00000000" w:rsidDel="00000000" w:rsidP="00000000" w:rsidRDefault="00000000" w:rsidRPr="00000000" w14:paraId="000000EE">
            <w:pPr>
              <w:tabs>
                <w:tab w:val="left" w:leader="none" w:pos="6540"/>
              </w:tabs>
              <w:spacing w:after="160" w:line="259" w:lineRule="auto"/>
              <w:jc w:val="both"/>
              <w:rPr>
                <w:sz w:val="20"/>
                <w:szCs w:val="20"/>
              </w:rPr>
            </w:pPr>
            <w:r w:rsidDel="00000000" w:rsidR="00000000" w:rsidRPr="00000000">
              <w:rPr>
                <w:sz w:val="20"/>
                <w:szCs w:val="20"/>
                <w:rtl w:val="0"/>
              </w:rPr>
              <w:t xml:space="preserve">Any contractual arrangements creating decisive influence? </w:t>
            </w:r>
          </w:p>
        </w:tc>
        <w:tc>
          <w:tcPr/>
          <w:p w:rsidR="00000000" w:rsidDel="00000000" w:rsidP="00000000" w:rsidRDefault="00000000" w:rsidRPr="00000000" w14:paraId="000000EF">
            <w:pPr>
              <w:tabs>
                <w:tab w:val="left" w:leader="none" w:pos="6540"/>
              </w:tabs>
              <w:spacing w:after="160" w:line="259" w:lineRule="auto"/>
              <w:jc w:val="both"/>
              <w:rPr>
                <w:sz w:val="20"/>
                <w:szCs w:val="20"/>
              </w:rPr>
            </w:pPr>
            <w:sdt>
              <w:sdtPr>
                <w:id w:val="-944585611"/>
                <w:tag w:val="goog_rdk_1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c>
          <w:tcPr/>
          <w:p w:rsidR="00000000" w:rsidDel="00000000" w:rsidP="00000000" w:rsidRDefault="00000000" w:rsidRPr="00000000" w14:paraId="000000F0">
            <w:pPr>
              <w:tabs>
                <w:tab w:val="left" w:leader="none" w:pos="6540"/>
              </w:tabs>
              <w:spacing w:after="160" w:line="259" w:lineRule="auto"/>
              <w:jc w:val="both"/>
              <w:rPr>
                <w:sz w:val="20"/>
                <w:szCs w:val="20"/>
              </w:rPr>
            </w:pPr>
            <w:sdt>
              <w:sdtPr>
                <w:id w:val="-1343631130"/>
                <w:tag w:val="goog_rdk_1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r>
      <w:tr>
        <w:trPr>
          <w:cantSplit w:val="0"/>
          <w:trHeight w:val="300" w:hRule="atLeast"/>
          <w:tblHeader w:val="0"/>
        </w:trPr>
        <w:tc>
          <w:tcPr/>
          <w:p w:rsidR="00000000" w:rsidDel="00000000" w:rsidP="00000000" w:rsidRDefault="00000000" w:rsidRPr="00000000" w14:paraId="000000F1">
            <w:pPr>
              <w:tabs>
                <w:tab w:val="left" w:leader="none" w:pos="6540"/>
              </w:tabs>
              <w:spacing w:after="160" w:line="259" w:lineRule="auto"/>
              <w:jc w:val="both"/>
              <w:rPr>
                <w:sz w:val="20"/>
                <w:szCs w:val="20"/>
              </w:rPr>
            </w:pPr>
            <w:r w:rsidDel="00000000" w:rsidR="00000000" w:rsidRPr="00000000">
              <w:rPr>
                <w:sz w:val="20"/>
                <w:szCs w:val="20"/>
                <w:rtl w:val="0"/>
              </w:rPr>
              <w:t xml:space="preserve">Any concerns regarding ownership transparency? </w:t>
            </w:r>
          </w:p>
        </w:tc>
        <w:tc>
          <w:tcPr/>
          <w:p w:rsidR="00000000" w:rsidDel="00000000" w:rsidP="00000000" w:rsidRDefault="00000000" w:rsidRPr="00000000" w14:paraId="000000F2">
            <w:pPr>
              <w:tabs>
                <w:tab w:val="left" w:leader="none" w:pos="6540"/>
              </w:tabs>
              <w:spacing w:after="160" w:line="259" w:lineRule="auto"/>
              <w:jc w:val="both"/>
              <w:rPr>
                <w:sz w:val="20"/>
                <w:szCs w:val="20"/>
              </w:rPr>
            </w:pPr>
            <w:sdt>
              <w:sdtPr>
                <w:id w:val="-1061534224"/>
                <w:tag w:val="goog_rdk_16"/>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c>
          <w:tcPr/>
          <w:p w:rsidR="00000000" w:rsidDel="00000000" w:rsidP="00000000" w:rsidRDefault="00000000" w:rsidRPr="00000000" w14:paraId="000000F3">
            <w:pPr>
              <w:tabs>
                <w:tab w:val="left" w:leader="none" w:pos="6540"/>
              </w:tabs>
              <w:spacing w:after="160" w:line="259" w:lineRule="auto"/>
              <w:jc w:val="both"/>
              <w:rPr>
                <w:sz w:val="20"/>
                <w:szCs w:val="20"/>
              </w:rPr>
            </w:pPr>
            <w:sdt>
              <w:sdtPr>
                <w:id w:val="65928962"/>
                <w:tag w:val="goog_rdk_1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r>
      <w:tr>
        <w:trPr>
          <w:cantSplit w:val="0"/>
          <w:trHeight w:val="300" w:hRule="atLeast"/>
          <w:tblHeader w:val="0"/>
        </w:trPr>
        <w:tc>
          <w:tcPr/>
          <w:p w:rsidR="00000000" w:rsidDel="00000000" w:rsidP="00000000" w:rsidRDefault="00000000" w:rsidRPr="00000000" w14:paraId="000000F4">
            <w:pPr>
              <w:tabs>
                <w:tab w:val="left" w:leader="none" w:pos="6540"/>
              </w:tabs>
              <w:spacing w:after="160" w:line="259" w:lineRule="auto"/>
              <w:jc w:val="both"/>
              <w:rPr>
                <w:sz w:val="20"/>
                <w:szCs w:val="20"/>
              </w:rPr>
            </w:pPr>
            <w:r w:rsidDel="00000000" w:rsidR="00000000" w:rsidRPr="00000000">
              <w:rPr>
                <w:sz w:val="20"/>
                <w:szCs w:val="20"/>
                <w:rtl w:val="0"/>
              </w:rPr>
              <w:t xml:space="preserve">Additional review required? </w:t>
            </w:r>
          </w:p>
        </w:tc>
        <w:tc>
          <w:tcPr/>
          <w:p w:rsidR="00000000" w:rsidDel="00000000" w:rsidP="00000000" w:rsidRDefault="00000000" w:rsidRPr="00000000" w14:paraId="000000F5">
            <w:pPr>
              <w:tabs>
                <w:tab w:val="left" w:leader="none" w:pos="6540"/>
              </w:tabs>
              <w:spacing w:after="160" w:line="259" w:lineRule="auto"/>
              <w:jc w:val="both"/>
              <w:rPr>
                <w:sz w:val="20"/>
                <w:szCs w:val="20"/>
              </w:rPr>
            </w:pPr>
            <w:sdt>
              <w:sdtPr>
                <w:id w:val="-596041033"/>
                <w:tag w:val="goog_rdk_1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c>
          <w:tcPr/>
          <w:p w:rsidR="00000000" w:rsidDel="00000000" w:rsidP="00000000" w:rsidRDefault="00000000" w:rsidRPr="00000000" w14:paraId="000000F6">
            <w:pPr>
              <w:tabs>
                <w:tab w:val="left" w:leader="none" w:pos="6540"/>
              </w:tabs>
              <w:spacing w:after="160" w:line="259" w:lineRule="auto"/>
              <w:jc w:val="both"/>
              <w:rPr>
                <w:sz w:val="20"/>
                <w:szCs w:val="20"/>
              </w:rPr>
            </w:pPr>
            <w:sdt>
              <w:sdtPr>
                <w:id w:val="1198209884"/>
                <w:tag w:val="goog_rdk_1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p>
        </w:tc>
      </w:tr>
    </w:tbl>
    <w:p w:rsidR="00000000" w:rsidDel="00000000" w:rsidP="00000000" w:rsidRDefault="00000000" w:rsidRPr="00000000" w14:paraId="000000F7">
      <w:pPr>
        <w:tabs>
          <w:tab w:val="left" w:leader="none" w:pos="6540"/>
        </w:tabs>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F8">
      <w:pPr>
        <w:tabs>
          <w:tab w:val="left" w:leader="none" w:pos="6540"/>
        </w:tabs>
        <w:jc w:val="both"/>
        <w:rPr>
          <w:b w:val="1"/>
          <w:bCs w:val="1"/>
          <w:sz w:val="20"/>
          <w:szCs w:val="20"/>
        </w:rPr>
      </w:pPr>
      <w:r w:rsidDel="00000000" w:rsidR="00000000" w:rsidRPr="00000000">
        <w:rPr>
          <w:b w:val="1"/>
          <w:bCs w:val="1"/>
          <w:sz w:val="20"/>
          <w:szCs w:val="20"/>
          <w:rtl w:val="0"/>
        </w:rPr>
        <w:t xml:space="preserve">Final Assessment Outcome </w:t>
      </w:r>
    </w:p>
    <w:p w:rsidR="00000000" w:rsidDel="00000000" w:rsidP="00000000" w:rsidRDefault="00000000" w:rsidRPr="00000000" w14:paraId="000000F9">
      <w:pPr>
        <w:tabs>
          <w:tab w:val="left" w:leader="none" w:pos="6540"/>
        </w:tabs>
        <w:jc w:val="both"/>
        <w:rPr>
          <w:sz w:val="20"/>
          <w:szCs w:val="20"/>
        </w:rPr>
      </w:pPr>
      <w:sdt>
        <w:sdtPr>
          <w:id w:val="-4912894"/>
          <w:tag w:val="goog_rdk_2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Eligible </w:t>
      </w:r>
    </w:p>
    <w:p w:rsidR="00000000" w:rsidDel="00000000" w:rsidP="00000000" w:rsidRDefault="00000000" w:rsidRPr="00000000" w14:paraId="000000FA">
      <w:pPr>
        <w:tabs>
          <w:tab w:val="left" w:leader="none" w:pos="6540"/>
        </w:tabs>
        <w:jc w:val="both"/>
        <w:rPr>
          <w:sz w:val="20"/>
          <w:szCs w:val="20"/>
        </w:rPr>
      </w:pPr>
      <w:sdt>
        <w:sdtPr>
          <w:id w:val="-855350266"/>
          <w:tag w:val="goog_rdk_2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Eligible Subject to Clarification </w:t>
      </w:r>
    </w:p>
    <w:p w:rsidR="00000000" w:rsidDel="00000000" w:rsidP="00000000" w:rsidRDefault="00000000" w:rsidRPr="00000000" w14:paraId="000000FB">
      <w:pPr>
        <w:tabs>
          <w:tab w:val="left" w:leader="none" w:pos="6540"/>
        </w:tabs>
        <w:jc w:val="both"/>
        <w:rPr>
          <w:sz w:val="20"/>
          <w:szCs w:val="20"/>
        </w:rPr>
      </w:pPr>
      <w:sdt>
        <w:sdtPr>
          <w:id w:val="-1720163954"/>
          <w:tag w:val="goog_rdk_2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Ineligible </w:t>
      </w:r>
    </w:p>
    <w:p w:rsidR="00000000" w:rsidDel="00000000" w:rsidP="00000000" w:rsidRDefault="00000000" w:rsidRPr="00000000" w14:paraId="000000FC">
      <w:pPr>
        <w:tabs>
          <w:tab w:val="left" w:leader="none" w:pos="6540"/>
        </w:tabs>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FD">
      <w:pPr>
        <w:tabs>
          <w:tab w:val="left" w:leader="none" w:pos="6540"/>
        </w:tabs>
        <w:jc w:val="both"/>
        <w:rPr>
          <w:sz w:val="20"/>
          <w:szCs w:val="20"/>
        </w:rPr>
      </w:pPr>
      <w:r w:rsidDel="00000000" w:rsidR="00000000" w:rsidRPr="00000000">
        <w:rPr>
          <w:b w:val="1"/>
          <w:bCs w:val="1"/>
          <w:sz w:val="20"/>
          <w:szCs w:val="20"/>
          <w:rtl w:val="0"/>
        </w:rPr>
        <w:t xml:space="preserve">Assessor: </w:t>
      </w:r>
      <w:r w:rsidDel="00000000" w:rsidR="00000000" w:rsidRPr="00000000">
        <w:rPr>
          <w:sz w:val="20"/>
          <w:szCs w:val="20"/>
          <w:rtl w:val="0"/>
        </w:rPr>
        <w:t xml:space="preserve">______________________________________________________________________ </w:t>
      </w:r>
    </w:p>
    <w:p w:rsidR="00000000" w:rsidDel="00000000" w:rsidP="00000000" w:rsidRDefault="00000000" w:rsidRPr="00000000" w14:paraId="000000FE">
      <w:pPr>
        <w:tabs>
          <w:tab w:val="left" w:leader="none" w:pos="6540"/>
        </w:tabs>
        <w:jc w:val="both"/>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______________________________________________________________________ </w:t>
      </w:r>
    </w:p>
    <w:p w:rsidR="00000000" w:rsidDel="00000000" w:rsidP="00000000" w:rsidRDefault="00000000" w:rsidRPr="00000000" w14:paraId="000000FF">
      <w:pPr>
        <w:tabs>
          <w:tab w:val="left" w:leader="none" w:pos="6540"/>
        </w:tabs>
        <w:jc w:val="both"/>
        <w:rPr>
          <w:sz w:val="20"/>
          <w:szCs w:val="20"/>
        </w:rPr>
      </w:pPr>
      <w:r w:rsidDel="00000000" w:rsidR="00000000" w:rsidRPr="00000000">
        <w:rPr>
          <w:b w:val="1"/>
          <w:bCs w:val="1"/>
          <w:sz w:val="20"/>
          <w:szCs w:val="20"/>
          <w:rtl w:val="0"/>
        </w:rPr>
        <w:t xml:space="preserve">Comments: </w:t>
      </w:r>
      <w:r w:rsidDel="00000000" w:rsidR="00000000" w:rsidRPr="00000000">
        <w:rPr>
          <w:sz w:val="20"/>
          <w:szCs w:val="20"/>
          <w:rtl w:val="0"/>
        </w:rPr>
        <w:t xml:space="preserve">______________________________________________________________________ </w:t>
      </w:r>
    </w:p>
    <w:p w:rsidR="00000000" w:rsidDel="00000000" w:rsidP="00000000" w:rsidRDefault="00000000" w:rsidRPr="00000000" w14:paraId="00000100">
      <w:pPr>
        <w:tabs>
          <w:tab w:val="left" w:leader="none" w:pos="6540"/>
        </w:tabs>
        <w:jc w:val="both"/>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101">
      <w:pPr>
        <w:tabs>
          <w:tab w:val="left" w:leader="none" w:pos="6540"/>
        </w:tabs>
        <w:jc w:val="both"/>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102">
      <w:pPr>
        <w:tabs>
          <w:tab w:val="left" w:leader="none" w:pos="6540"/>
        </w:tabs>
        <w:jc w:val="both"/>
        <w:rPr>
          <w:b w:val="1"/>
          <w:bCs w:val="1"/>
          <w:sz w:val="20"/>
          <w:szCs w:val="20"/>
        </w:rPr>
      </w:pPr>
      <w:r w:rsidDel="00000000" w:rsidR="00000000" w:rsidRPr="00000000">
        <w:rPr>
          <w:b w:val="1"/>
          <w:bCs w:val="1"/>
          <w:sz w:val="20"/>
          <w:szCs w:val="20"/>
          <w:rtl w:val="0"/>
        </w:rPr>
        <w:t xml:space="preserve">Normative Reference: </w:t>
      </w:r>
    </w:p>
    <w:p w:rsidR="00000000" w:rsidDel="00000000" w:rsidP="00000000" w:rsidRDefault="00000000" w:rsidRPr="00000000" w14:paraId="00000103">
      <w:pPr>
        <w:tabs>
          <w:tab w:val="left" w:leader="none" w:pos="6540"/>
        </w:tabs>
        <w:jc w:val="both"/>
        <w:rPr>
          <w:sz w:val="20"/>
          <w:szCs w:val="20"/>
        </w:rPr>
      </w:pPr>
      <w:r w:rsidDel="00000000" w:rsidR="00000000" w:rsidRPr="00000000">
        <w:rPr>
          <w:sz w:val="20"/>
          <w:szCs w:val="20"/>
          <w:rtl w:val="0"/>
        </w:rPr>
        <w:t xml:space="preserve">This procedure shall be read and applied in conjunction with the European Commission Guidance on </w:t>
      </w:r>
      <w:hyperlink r:id="rId9">
        <w:r w:rsidDel="00000000" w:rsidR="00000000" w:rsidRPr="00000000">
          <w:rPr>
            <w:color w:val="233cff"/>
            <w:sz w:val="20"/>
            <w:szCs w:val="20"/>
            <w:u w:val="single"/>
            <w:rtl w:val="0"/>
          </w:rPr>
          <w:t xml:space="preserve">Participation in EU Calls with Ownership and Control Restrictions</w:t>
        </w:r>
      </w:hyperlink>
      <w:r w:rsidDel="00000000" w:rsidR="00000000" w:rsidRPr="00000000">
        <w:rPr>
          <w:sz w:val="20"/>
          <w:szCs w:val="20"/>
          <w:rtl w:val="0"/>
        </w:rPr>
        <w:t xml:space="preserve"> (Version 2.0, 1 January 2026). Where this procedure does not provide sufficient detail for the assessment of ownership or control, the provisions, principles, and assessment methodology described in the European Commission guidance shall prevail and serve as the applicable reference framework. </w:t>
      </w:r>
    </w:p>
    <w:p w:rsidR="00000000" w:rsidDel="00000000" w:rsidP="00000000" w:rsidRDefault="00000000" w:rsidRPr="00000000" w14:paraId="00000104">
      <w:pPr>
        <w:tabs>
          <w:tab w:val="left" w:leader="none" w:pos="6540"/>
        </w:tabs>
        <w:jc w:val="both"/>
        <w:rPr>
          <w:sz w:val="20"/>
          <w:szCs w:val="20"/>
        </w:rPr>
      </w:pPr>
      <w:r w:rsidDel="00000000" w:rsidR="00000000" w:rsidRPr="00000000">
        <w:rPr>
          <w:rtl w:val="0"/>
        </w:rPr>
      </w:r>
    </w:p>
    <w:sectPr>
      <w:headerReference r:id="rId10" w:type="default"/>
      <w:footerReference r:id="rId11" w:type="default"/>
      <w:pgSz w:h="16838" w:w="11906" w:orient="portrait"/>
      <w:pgMar w:bottom="1440" w:top="1702" w:left="1440" w:right="144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-402589</wp:posOffset>
          </wp:positionH>
          <wp:positionV relativeFrom="paragraph">
            <wp:posOffset>-71119</wp:posOffset>
          </wp:positionV>
          <wp:extent cx="1369695" cy="286385"/>
          <wp:effectExtent b="0" l="0" r="0" t="0"/>
          <wp:wrapNone/>
          <wp:docPr id="200504045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69695" cy="28638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5768975</wp:posOffset>
          </wp:positionH>
          <wp:positionV relativeFrom="paragraph">
            <wp:posOffset>-13911</wp:posOffset>
          </wp:positionV>
          <wp:extent cx="181841" cy="168852"/>
          <wp:effectExtent b="0" l="0" r="0" t="0"/>
          <wp:wrapNone/>
          <wp:docPr id="200504045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81841" cy="16885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-95196</wp:posOffset>
              </wp:positionH>
              <wp:positionV relativeFrom="paragraph">
                <wp:posOffset>-198107</wp:posOffset>
              </wp:positionV>
              <wp:extent cx="4295140" cy="366241"/>
              <wp:effectExtent b="0" l="0" r="0" t="0"/>
              <wp:wrapNone/>
              <wp:docPr id="2005040450" name=""/>
              <a:graphic>
                <a:graphicData uri="http://schemas.microsoft.com/office/word/2010/wordprocessingShape">
                  <wps:wsp>
                    <wps:cNvSpPr/>
                    <wps:cNvPr id="5" name="Shape 5"/>
                    <wps:spPr>
                      <a:xfrm>
                        <a:off x="3203193" y="3601642"/>
                        <a:ext cx="4285615" cy="356716"/>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233cff"/>
                              <w:sz w:val="14"/>
                              <w:vertAlign w:val="baseline"/>
                            </w:rPr>
                            <w:t xml:space="preserve">Open Call Procedure for Ownership and Control Eligibility Assessment</w:t>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-95196</wp:posOffset>
              </wp:positionH>
              <wp:positionV relativeFrom="paragraph">
                <wp:posOffset>-198107</wp:posOffset>
              </wp:positionV>
              <wp:extent cx="4295140" cy="366241"/>
              <wp:effectExtent b="0" l="0" r="0" t="0"/>
              <wp:wrapNone/>
              <wp:docPr id="2005040450"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4295140" cy="366241"/>
                      </a:xfrm>
                      <a:prstGeom prst="rect"/>
                      <a:ln/>
                    </pic:spPr>
                  </pic:pic>
                </a:graphicData>
              </a:graphic>
            </wp:anchor>
          </w:drawing>
        </mc:Fallback>
      </mc:AlternateContent>
    </w:r>
    <w:r w:rsidDel="00000000" w:rsidR="00000000" w:rsidRPr="00000000">
      <w:drawing>
        <wp:anchor allowOverlap="1" behindDoc="1" distB="0" distT="0" distL="0" distR="0" hidden="0" layoutInCell="1" locked="0" relativeHeight="0" simplePos="0">
          <wp:simplePos x="0" y="0"/>
          <wp:positionH relativeFrom="column">
            <wp:posOffset>5015924</wp:posOffset>
          </wp:positionH>
          <wp:positionV relativeFrom="paragraph">
            <wp:posOffset>-165494</wp:posOffset>
          </wp:positionV>
          <wp:extent cx="1006421" cy="326155"/>
          <wp:effectExtent b="0" l="0" r="0" t="0"/>
          <wp:wrapNone/>
          <wp:docPr id="200504045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006421" cy="32615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6359843</wp:posOffset>
              </wp:positionH>
              <wp:positionV relativeFrom="paragraph">
                <wp:posOffset>-298766</wp:posOffset>
              </wp:positionV>
              <wp:extent cx="116205" cy="116205"/>
              <wp:effectExtent b="0" l="0" r="0" t="0"/>
              <wp:wrapNone/>
              <wp:docPr id="2005040449" name=""/>
              <a:graphic>
                <a:graphicData uri="http://schemas.microsoft.com/office/word/2010/wordprocessingShape">
                  <wps:wsp>
                    <wps:cNvSpPr/>
                    <wps:cNvPr id="4" name="Shape 4"/>
                    <wps:spPr>
                      <a:xfrm>
                        <a:off x="5292660" y="3726660"/>
                        <a:ext cx="106680" cy="106680"/>
                      </a:xfrm>
                      <a:prstGeom prst="rect">
                        <a:avLst/>
                      </a:prstGeom>
                      <a:solidFill>
                        <a:schemeClr val="accent5"/>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6359843</wp:posOffset>
              </wp:positionH>
              <wp:positionV relativeFrom="paragraph">
                <wp:posOffset>-298766</wp:posOffset>
              </wp:positionV>
              <wp:extent cx="116205" cy="116205"/>
              <wp:effectExtent b="0" l="0" r="0" t="0"/>
              <wp:wrapNone/>
              <wp:docPr id="2005040449"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16205" cy="1162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6467059</wp:posOffset>
              </wp:positionH>
              <wp:positionV relativeFrom="paragraph">
                <wp:posOffset>-476535</wp:posOffset>
              </wp:positionV>
              <wp:extent cx="179070" cy="189174"/>
              <wp:effectExtent b="0" l="0" r="0" t="0"/>
              <wp:wrapNone/>
              <wp:docPr id="2005040448" name=""/>
              <a:graphic>
                <a:graphicData uri="http://schemas.microsoft.com/office/word/2010/wordprocessingShape">
                  <wps:wsp>
                    <wps:cNvSpPr/>
                    <wps:cNvPr id="3" name="Shape 3"/>
                    <wps:spPr>
                      <a:xfrm>
                        <a:off x="5261228" y="3690176"/>
                        <a:ext cx="169545" cy="179649"/>
                      </a:xfrm>
                      <a:prstGeom prst="rect">
                        <a:avLst/>
                      </a:prstGeom>
                      <a:solidFill>
                        <a:srgbClr val="EAE78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6467059</wp:posOffset>
              </wp:positionH>
              <wp:positionV relativeFrom="paragraph">
                <wp:posOffset>-476535</wp:posOffset>
              </wp:positionV>
              <wp:extent cx="179070" cy="189174"/>
              <wp:effectExtent b="0" l="0" r="0" t="0"/>
              <wp:wrapNone/>
              <wp:docPr id="2005040448"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79070" cy="189174"/>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1">
    <w:lvl w:ilvl="0">
      <w:start w:val="1"/>
      <w:numFmt w:val="decimal"/>
      <w:lvlText w:val="%1"/>
      <w:lvlJc w:val="left"/>
      <w:pPr>
        <w:ind w:left="432" w:hanging="432"/>
      </w:pPr>
      <w:rPr>
        <w:b w:val="0"/>
        <w:bCs w:val="0"/>
        <w:sz w:val="44"/>
        <w:szCs w:val="44"/>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4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color="233cff" w:space="1" w:sz="4" w:val="dotted"/>
      </w:pBdr>
      <w:spacing w:after="80" w:before="360" w:lineRule="auto"/>
      <w:ind w:left="432" w:hanging="432"/>
    </w:pPr>
    <w:rPr>
      <w:rFonts w:ascii="Arial" w:cs="Arial" w:eastAsia="Arial" w:hAnsi="Arial"/>
      <w:color w:val="233cff"/>
      <w:sz w:val="40"/>
      <w:szCs w:val="40"/>
    </w:rPr>
  </w:style>
  <w:style w:type="paragraph" w:styleId="Heading2">
    <w:name w:val="heading 2"/>
    <w:basedOn w:val="Normal"/>
    <w:next w:val="Normal"/>
    <w:pPr>
      <w:keepNext w:val="1"/>
      <w:keepLines w:val="1"/>
      <w:pBdr>
        <w:bottom w:color="1112a3" w:space="1" w:sz="4" w:val="dotted"/>
      </w:pBdr>
      <w:spacing w:after="80" w:before="160" w:lineRule="auto"/>
      <w:ind w:left="576" w:hanging="576"/>
    </w:pPr>
    <w:rPr>
      <w:rFonts w:ascii="Arial" w:cs="Arial" w:eastAsia="Arial" w:hAnsi="Arial"/>
      <w:color w:val="1112a3"/>
      <w:sz w:val="32"/>
      <w:szCs w:val="32"/>
    </w:rPr>
  </w:style>
  <w:style w:type="paragraph" w:styleId="Heading3">
    <w:name w:val="heading 3"/>
    <w:basedOn w:val="Normal"/>
    <w:next w:val="Normal"/>
    <w:pPr>
      <w:keepNext w:val="1"/>
      <w:keepLines w:val="1"/>
      <w:pBdr>
        <w:bottom w:color="0d0f27" w:space="1" w:sz="4" w:val="dotted"/>
      </w:pBdr>
      <w:spacing w:after="80" w:before="160" w:lineRule="auto"/>
      <w:ind w:left="720" w:hanging="720"/>
    </w:pPr>
    <w:rPr>
      <w:rFonts w:ascii="Arial" w:cs="Arial" w:eastAsia="Arial" w:hAnsi="Arial"/>
      <w:color w:val="0018d9"/>
      <w:sz w:val="28"/>
      <w:szCs w:val="28"/>
    </w:rPr>
  </w:style>
  <w:style w:type="paragraph" w:styleId="Heading4">
    <w:name w:val="heading 4"/>
    <w:basedOn w:val="Normal"/>
    <w:next w:val="Normal"/>
    <w:pPr>
      <w:keepNext w:val="1"/>
      <w:keepLines w:val="1"/>
      <w:pBdr>
        <w:bottom w:color="0d0f27" w:space="1" w:sz="4" w:val="dotted"/>
      </w:pBdr>
      <w:spacing w:after="40" w:before="80" w:lineRule="auto"/>
      <w:ind w:left="864" w:hanging="864"/>
    </w:pPr>
    <w:rPr>
      <w:rFonts w:ascii="Arial" w:cs="Arial" w:eastAsia="Arial" w:hAnsi="Arial"/>
      <w:color w:val="0018d9"/>
      <w:sz w:val="24"/>
      <w:szCs w:val="24"/>
    </w:rPr>
  </w:style>
  <w:style w:type="paragraph" w:styleId="Heading5">
    <w:name w:val="heading 5"/>
    <w:basedOn w:val="Normal"/>
    <w:next w:val="Normal"/>
    <w:pPr>
      <w:keepNext w:val="1"/>
      <w:keepLines w:val="1"/>
      <w:pBdr>
        <w:bottom w:color="0d0f27" w:space="1" w:sz="4" w:val="dotted"/>
      </w:pBdr>
      <w:spacing w:after="40" w:before="80" w:lineRule="auto"/>
      <w:ind w:left="1008" w:hanging="1008"/>
    </w:pPr>
    <w:rPr>
      <w:rFonts w:ascii="Arial" w:cs="Arial" w:eastAsia="Arial" w:hAnsi="Arial"/>
      <w:color w:val="0018d9"/>
    </w:rPr>
  </w:style>
  <w:style w:type="paragraph" w:styleId="Heading6">
    <w:name w:val="heading 6"/>
    <w:basedOn w:val="Normal"/>
    <w:next w:val="Normal"/>
    <w:pPr>
      <w:keepNext w:val="1"/>
      <w:keepLines w:val="1"/>
      <w:spacing w:after="0" w:before="40" w:lineRule="auto"/>
      <w:ind w:left="1152" w:hanging="1152"/>
    </w:pPr>
    <w:rPr>
      <w:i w:val="1"/>
      <w:iCs w:val="1"/>
      <w:color w:val="353c9e"/>
    </w:rPr>
  </w:style>
  <w:style w:type="paragraph" w:styleId="Title">
    <w:name w:val="Title"/>
    <w:basedOn w:val="Normal"/>
    <w:next w:val="Normal"/>
    <w:pPr>
      <w:spacing w:after="120" w:before="240" w:line="240" w:lineRule="auto"/>
    </w:pPr>
    <w:rPr>
      <w:rFonts w:ascii="Arial" w:cs="Arial" w:eastAsia="Arial" w:hAnsi="Arial"/>
      <w:b w:val="1"/>
      <w:bCs w:val="1"/>
      <w:color w:val="0d0f27"/>
      <w:sz w:val="26"/>
      <w:szCs w:val="26"/>
    </w:rPr>
  </w:style>
  <w:style w:type="paragraph" w:styleId="Heading7">
    <w:name w:val="heading 7"/>
    <w:basedOn w:val="Normal"/>
    <w:next w:val="Normal"/>
    <w:link w:val="Heading7Char"/>
    <w:uiPriority w:val="9"/>
    <w:semiHidden w:val="1"/>
    <w:unhideWhenUsed w:val="1"/>
    <w:qFormat w:val="1"/>
    <w:rsid w:val="00847A87"/>
    <w:pPr>
      <w:keepNext w:val="1"/>
      <w:keepLines w:val="1"/>
      <w:numPr>
        <w:ilvl w:val="6"/>
        <w:numId w:val="5"/>
      </w:numPr>
      <w:spacing w:after="0" w:before="40"/>
      <w:outlineLvl w:val="6"/>
    </w:pPr>
    <w:rPr>
      <w:rFonts w:cstheme="majorBidi" w:eastAsiaTheme="majorEastAsia"/>
      <w:color w:val="353c9e" w:themeColor="text1" w:themeTint="0000A6"/>
    </w:rPr>
  </w:style>
  <w:style w:type="paragraph" w:styleId="Heading8">
    <w:name w:val="heading 8"/>
    <w:basedOn w:val="Normal"/>
    <w:next w:val="Normal"/>
    <w:link w:val="Heading8Char"/>
    <w:uiPriority w:val="9"/>
    <w:semiHidden w:val="1"/>
    <w:unhideWhenUsed w:val="1"/>
    <w:qFormat w:val="1"/>
    <w:rsid w:val="00847A87"/>
    <w:pPr>
      <w:keepNext w:val="1"/>
      <w:keepLines w:val="1"/>
      <w:numPr>
        <w:ilvl w:val="7"/>
        <w:numId w:val="5"/>
      </w:numPr>
      <w:spacing w:after="0"/>
      <w:outlineLvl w:val="7"/>
    </w:pPr>
    <w:rPr>
      <w:rFonts w:cstheme="majorBidi" w:eastAsiaTheme="majorEastAsia"/>
      <w:i w:val="1"/>
      <w:iCs w:val="1"/>
      <w:color w:val="1e235b" w:themeColor="text1" w:themeTint="0000D8"/>
    </w:rPr>
  </w:style>
  <w:style w:type="paragraph" w:styleId="Heading9">
    <w:name w:val="heading 9"/>
    <w:basedOn w:val="Normal"/>
    <w:next w:val="Normal"/>
    <w:link w:val="Heading9Char"/>
    <w:uiPriority w:val="9"/>
    <w:semiHidden w:val="1"/>
    <w:unhideWhenUsed w:val="1"/>
    <w:qFormat w:val="1"/>
    <w:rsid w:val="00847A87"/>
    <w:pPr>
      <w:keepNext w:val="1"/>
      <w:keepLines w:val="1"/>
      <w:numPr>
        <w:ilvl w:val="8"/>
        <w:numId w:val="5"/>
      </w:numPr>
      <w:spacing w:after="0"/>
      <w:outlineLvl w:val="8"/>
    </w:pPr>
    <w:rPr>
      <w:rFonts w:cstheme="majorBidi" w:eastAsiaTheme="majorEastAsia"/>
      <w:color w:val="1e235b"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aliases w:val="Title 1 Char,DECIDE Title 1 Char"/>
    <w:basedOn w:val="DefaultParagraphFont"/>
    <w:link w:val="Heading1"/>
    <w:uiPriority w:val="9"/>
    <w:rsid w:val="000000BC"/>
    <w:rPr>
      <w:rFonts w:asciiTheme="majorHAnsi" w:cstheme="majorBidi" w:eastAsiaTheme="majorEastAsia" w:hAnsiTheme="majorHAnsi"/>
      <w:color w:val="233cff" w:themeColor="accent2"/>
      <w:sz w:val="40"/>
      <w:szCs w:val="40"/>
    </w:rPr>
  </w:style>
  <w:style w:type="character" w:styleId="Heading2Char" w:customStyle="1">
    <w:name w:val="Heading 2 Char"/>
    <w:aliases w:val="DECIDE Title 2 Char"/>
    <w:basedOn w:val="DefaultParagraphFont"/>
    <w:link w:val="Heading2"/>
    <w:uiPriority w:val="9"/>
    <w:rsid w:val="000000BC"/>
    <w:rPr>
      <w:rFonts w:asciiTheme="majorHAnsi" w:cstheme="majorBidi" w:eastAsiaTheme="majorEastAsia" w:hAnsiTheme="majorHAnsi"/>
      <w:color w:val="1112a3" w:themeColor="accent4"/>
      <w:sz w:val="32"/>
      <w:szCs w:val="32"/>
    </w:rPr>
  </w:style>
  <w:style w:type="character" w:styleId="Heading3Char" w:customStyle="1">
    <w:name w:val="Heading 3 Char"/>
    <w:aliases w:val="DECIDE Title 3 Char"/>
    <w:basedOn w:val="DefaultParagraphFont"/>
    <w:link w:val="Heading3"/>
    <w:uiPriority w:val="9"/>
    <w:rsid w:val="000000BC"/>
    <w:rPr>
      <w:rFonts w:asciiTheme="majorHAnsi" w:cstheme="majorBidi" w:eastAsiaTheme="majorEastAsia" w:hAnsiTheme="majorHAnsi"/>
      <w:color w:val="0017d9" w:themeColor="accent1" w:themeShade="0000BF"/>
      <w:sz w:val="28"/>
      <w:szCs w:val="28"/>
    </w:rPr>
  </w:style>
  <w:style w:type="character" w:styleId="Heading4Char" w:customStyle="1">
    <w:name w:val="Heading 4 Char"/>
    <w:aliases w:val="DECIDE Title 4 Char"/>
    <w:basedOn w:val="DefaultParagraphFont"/>
    <w:link w:val="Heading4"/>
    <w:uiPriority w:val="9"/>
    <w:rsid w:val="000000BC"/>
    <w:rPr>
      <w:rFonts w:asciiTheme="majorHAnsi" w:cstheme="majorBidi" w:eastAsiaTheme="majorEastAsia" w:hAnsiTheme="majorHAnsi"/>
      <w:iCs w:val="1"/>
      <w:color w:val="0017d9" w:themeColor="accent1" w:themeShade="0000BF"/>
      <w:sz w:val="24"/>
    </w:rPr>
  </w:style>
  <w:style w:type="character" w:styleId="Heading5Char" w:customStyle="1">
    <w:name w:val="Heading 5 Char"/>
    <w:basedOn w:val="DefaultParagraphFont"/>
    <w:link w:val="Heading5"/>
    <w:uiPriority w:val="9"/>
    <w:rsid w:val="000000BC"/>
    <w:rPr>
      <w:rFonts w:asciiTheme="majorHAnsi" w:cstheme="majorBidi" w:eastAsiaTheme="majorEastAsia" w:hAnsiTheme="majorHAnsi"/>
      <w:color w:val="0017d9" w:themeColor="accent1" w:themeShade="0000BF"/>
    </w:rPr>
  </w:style>
  <w:style w:type="character" w:styleId="Heading6Char" w:customStyle="1">
    <w:name w:val="Heading 6 Char"/>
    <w:basedOn w:val="DefaultParagraphFont"/>
    <w:link w:val="Heading6"/>
    <w:uiPriority w:val="9"/>
    <w:rsid w:val="00847A87"/>
    <w:rPr>
      <w:rFonts w:cstheme="majorBidi" w:eastAsiaTheme="majorEastAsia"/>
      <w:i w:val="1"/>
      <w:iCs w:val="1"/>
      <w:color w:val="353c9e" w:themeColor="text1" w:themeTint="0000A6"/>
    </w:rPr>
  </w:style>
  <w:style w:type="character" w:styleId="Heading7Char" w:customStyle="1">
    <w:name w:val="Heading 7 Char"/>
    <w:basedOn w:val="DefaultParagraphFont"/>
    <w:link w:val="Heading7"/>
    <w:uiPriority w:val="9"/>
    <w:semiHidden w:val="1"/>
    <w:rsid w:val="00847A87"/>
    <w:rPr>
      <w:rFonts w:cstheme="majorBidi" w:eastAsiaTheme="majorEastAsia"/>
      <w:color w:val="353c9e" w:themeColor="text1" w:themeTint="0000A6"/>
    </w:rPr>
  </w:style>
  <w:style w:type="character" w:styleId="Heading8Char" w:customStyle="1">
    <w:name w:val="Heading 8 Char"/>
    <w:basedOn w:val="DefaultParagraphFont"/>
    <w:link w:val="Heading8"/>
    <w:uiPriority w:val="9"/>
    <w:semiHidden w:val="1"/>
    <w:rsid w:val="00847A87"/>
    <w:rPr>
      <w:rFonts w:cstheme="majorBidi" w:eastAsiaTheme="majorEastAsia"/>
      <w:i w:val="1"/>
      <w:iCs w:val="1"/>
      <w:color w:val="1e235b" w:themeColor="text1" w:themeTint="0000D8"/>
    </w:rPr>
  </w:style>
  <w:style w:type="character" w:styleId="Heading9Char" w:customStyle="1">
    <w:name w:val="Heading 9 Char"/>
    <w:basedOn w:val="DefaultParagraphFont"/>
    <w:link w:val="Heading9"/>
    <w:uiPriority w:val="9"/>
    <w:semiHidden w:val="1"/>
    <w:rsid w:val="00847A87"/>
    <w:rPr>
      <w:rFonts w:cstheme="majorBidi" w:eastAsiaTheme="majorEastAsia"/>
      <w:color w:val="1e235b" w:themeColor="text1" w:themeTint="0000D8"/>
    </w:rPr>
  </w:style>
  <w:style w:type="character" w:styleId="TitleChar" w:customStyle="1">
    <w:name w:val="Title Char"/>
    <w:basedOn w:val="DefaultParagraphFont"/>
    <w:link w:val="Title"/>
    <w:qFormat w:val="1"/>
    <w:rsid w:val="00F70B4F"/>
    <w:rPr>
      <w:rFonts w:asciiTheme="majorHAnsi" w:cstheme="majorBidi" w:eastAsiaTheme="majorEastAsia" w:hAnsiTheme="majorHAnsi"/>
      <w:b w:val="1"/>
      <w:color w:val="0d0f27" w:themeColor="text2"/>
      <w:kern w:val="28"/>
      <w:sz w:val="26"/>
      <w:szCs w:val="56"/>
    </w:rPr>
  </w:style>
  <w:style w:type="character" w:styleId="SubtitleChar" w:customStyle="1">
    <w:name w:val="Subtitle Char"/>
    <w:basedOn w:val="DefaultParagraphFont"/>
    <w:link w:val="Subtitle"/>
    <w:uiPriority w:val="11"/>
    <w:rsid w:val="00805BB6"/>
    <w:rPr>
      <w:rFonts w:cstheme="majorBidi" w:eastAsiaTheme="majorEastAsia"/>
      <w:color w:val="0d0f27" w:themeColor="text1"/>
      <w:sz w:val="24"/>
      <w:szCs w:val="28"/>
    </w:rPr>
  </w:style>
  <w:style w:type="paragraph" w:styleId="Quote">
    <w:name w:val="Quote"/>
    <w:basedOn w:val="Normal"/>
    <w:next w:val="Normal"/>
    <w:link w:val="QuoteChar"/>
    <w:uiPriority w:val="29"/>
    <w:qFormat w:val="1"/>
    <w:rsid w:val="00847A87"/>
    <w:pPr>
      <w:spacing w:before="160"/>
      <w:jc w:val="center"/>
    </w:pPr>
    <w:rPr>
      <w:i w:val="1"/>
      <w:iCs w:val="1"/>
      <w:color w:val="292f7d" w:themeColor="text1" w:themeTint="0000BF"/>
    </w:rPr>
  </w:style>
  <w:style w:type="character" w:styleId="QuoteChar" w:customStyle="1">
    <w:name w:val="Quote Char"/>
    <w:basedOn w:val="DefaultParagraphFont"/>
    <w:link w:val="Quote"/>
    <w:uiPriority w:val="29"/>
    <w:rsid w:val="00847A87"/>
    <w:rPr>
      <w:i w:val="1"/>
      <w:iCs w:val="1"/>
      <w:color w:val="292f7d" w:themeColor="text1" w:themeTint="0000BF"/>
    </w:rPr>
  </w:style>
  <w:style w:type="paragraph" w:styleId="ListParagraph">
    <w:name w:val="List Paragraph"/>
    <w:aliases w:val="Viñetas (Inicio Parrafo),3 Txt tabla,Zerrenda-paragrafoa,1st level - Bullet List Paragraph,Lettre d'introduction,Lista viñetas,Colorful List - Accent 11,Bullets_normal,Paragraphe de liste,Bullet point,obr-tab,Paragrafo elenco,Dot pt"/>
    <w:basedOn w:val="Normal"/>
    <w:link w:val="ListParagraphChar"/>
    <w:uiPriority w:val="34"/>
    <w:qFormat w:val="1"/>
    <w:rsid w:val="00847A87"/>
    <w:pPr>
      <w:ind w:left="720"/>
      <w:contextualSpacing w:val="1"/>
    </w:pPr>
  </w:style>
  <w:style w:type="character" w:styleId="IntenseEmphasis">
    <w:name w:val="Intense Emphasis"/>
    <w:basedOn w:val="DefaultParagraphFont"/>
    <w:uiPriority w:val="21"/>
    <w:qFormat w:val="1"/>
    <w:rsid w:val="00847A87"/>
    <w:rPr>
      <w:i w:val="1"/>
      <w:iCs w:val="1"/>
      <w:color w:val="0017d9" w:themeColor="accent1" w:themeShade="0000BF"/>
    </w:rPr>
  </w:style>
  <w:style w:type="paragraph" w:styleId="IntenseQuote">
    <w:name w:val="Intense Quote"/>
    <w:basedOn w:val="Normal"/>
    <w:next w:val="Normal"/>
    <w:link w:val="IntenseQuoteChar"/>
    <w:uiPriority w:val="30"/>
    <w:qFormat w:val="1"/>
    <w:rsid w:val="00847A87"/>
    <w:pPr>
      <w:pBdr>
        <w:top w:color="0017d9" w:space="10" w:sz="4" w:themeColor="accent1" w:themeShade="0000BF" w:val="single"/>
        <w:bottom w:color="0017d9" w:space="10" w:sz="4" w:themeColor="accent1" w:themeShade="0000BF" w:val="single"/>
      </w:pBdr>
      <w:spacing w:after="360" w:before="360"/>
      <w:ind w:left="864" w:right="864"/>
      <w:jc w:val="center"/>
    </w:pPr>
    <w:rPr>
      <w:i w:val="1"/>
      <w:iCs w:val="1"/>
      <w:color w:val="0017d9" w:themeColor="accent1" w:themeShade="0000BF"/>
    </w:rPr>
  </w:style>
  <w:style w:type="character" w:styleId="IntenseQuoteChar" w:customStyle="1">
    <w:name w:val="Intense Quote Char"/>
    <w:basedOn w:val="DefaultParagraphFont"/>
    <w:link w:val="IntenseQuote"/>
    <w:uiPriority w:val="30"/>
    <w:rsid w:val="00847A87"/>
    <w:rPr>
      <w:i w:val="1"/>
      <w:iCs w:val="1"/>
      <w:color w:val="0017d9" w:themeColor="accent1" w:themeShade="0000BF"/>
    </w:rPr>
  </w:style>
  <w:style w:type="character" w:styleId="IntenseReference">
    <w:name w:val="Intense Reference"/>
    <w:basedOn w:val="DefaultParagraphFont"/>
    <w:uiPriority w:val="32"/>
    <w:qFormat w:val="1"/>
    <w:rsid w:val="00847A87"/>
    <w:rPr>
      <w:b w:val="1"/>
      <w:bCs w:val="1"/>
      <w:smallCaps w:val="1"/>
      <w:color w:val="0017d9" w:themeColor="accent1" w:themeShade="0000BF"/>
      <w:spacing w:val="5"/>
    </w:rPr>
  </w:style>
  <w:style w:type="paragraph" w:styleId="Header">
    <w:name w:val="header"/>
    <w:basedOn w:val="Normal"/>
    <w:link w:val="HeaderChar"/>
    <w:uiPriority w:val="99"/>
    <w:unhideWhenUsed w:val="1"/>
    <w:rsid w:val="00847A87"/>
    <w:pPr>
      <w:tabs>
        <w:tab w:val="center" w:pos="4513"/>
        <w:tab w:val="right" w:pos="9026"/>
      </w:tabs>
      <w:spacing w:after="0" w:line="240" w:lineRule="auto"/>
    </w:pPr>
  </w:style>
  <w:style w:type="character" w:styleId="HeaderChar" w:customStyle="1">
    <w:name w:val="Header Char"/>
    <w:basedOn w:val="DefaultParagraphFont"/>
    <w:link w:val="Header"/>
    <w:uiPriority w:val="99"/>
    <w:rsid w:val="00847A87"/>
  </w:style>
  <w:style w:type="paragraph" w:styleId="Footer">
    <w:name w:val="footer"/>
    <w:basedOn w:val="Normal"/>
    <w:link w:val="FooterChar"/>
    <w:uiPriority w:val="99"/>
    <w:unhideWhenUsed w:val="1"/>
    <w:rsid w:val="00004C55"/>
    <w:pPr>
      <w:tabs>
        <w:tab w:val="center" w:pos="4513"/>
        <w:tab w:val="right" w:pos="9026"/>
      </w:tabs>
      <w:spacing w:after="0" w:line="240" w:lineRule="auto"/>
    </w:pPr>
    <w:rPr>
      <w:sz w:val="16"/>
    </w:rPr>
  </w:style>
  <w:style w:type="character" w:styleId="FooterChar" w:customStyle="1">
    <w:name w:val="Footer Char"/>
    <w:basedOn w:val="DefaultParagraphFont"/>
    <w:link w:val="Footer"/>
    <w:uiPriority w:val="99"/>
    <w:rsid w:val="00004C55"/>
    <w:rPr>
      <w:sz w:val="16"/>
    </w:rPr>
  </w:style>
  <w:style w:type="table" w:styleId="TableGrid">
    <w:name w:val="Table Grid"/>
    <w:basedOn w:val="TableNormal"/>
    <w:uiPriority w:val="59"/>
    <w:rsid w:val="00DD5AE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PlainTable4">
    <w:name w:val="Plain Table 4"/>
    <w:basedOn w:val="TableNormal"/>
    <w:uiPriority w:val="44"/>
    <w:rsid w:val="00DD5AE8"/>
    <w:pPr>
      <w:spacing w:after="0" w:line="240" w:lineRule="auto"/>
    </w:pPr>
    <w:tblPr>
      <w:tblStyleRowBandSize w:val="1"/>
      <w:tblStyleColBandSize w:val="1"/>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d3d3eb" w:themeFill="background1" w:themeFillShade="0000F2" w:val="clear"/>
      </w:tcPr>
    </w:tblStylePr>
    <w:tblStylePr w:type="band1Horz">
      <w:tblPr/>
      <w:tcPr>
        <w:shd w:color="auto" w:fill="d3d3eb" w:themeFill="background1" w:themeFillShade="0000F2" w:val="clear"/>
      </w:tcPr>
    </w:tblStylePr>
  </w:style>
  <w:style w:type="table" w:styleId="PlainTable2">
    <w:name w:val="Plain Table 2"/>
    <w:aliases w:val="SEA4VOLT - TABLE 1"/>
    <w:basedOn w:val="TableNormal"/>
    <w:uiPriority w:val="42"/>
    <w:rsid w:val="00A9054B"/>
    <w:pPr>
      <w:spacing w:after="60" w:before="60" w:line="240" w:lineRule="auto"/>
    </w:pPr>
    <w:rPr>
      <w:color w:val="0d0f27" w:themeColor="text1"/>
    </w:rPr>
    <w:tblPr>
      <w:tblStyleRowBandSize w:val="1"/>
      <w:tblStyleColBandSize w:val="1"/>
      <w:tblBorders>
        <w:top w:color="525bc5" w:space="0" w:sz="4" w:themeColor="text1" w:themeTint="000080" w:val="single"/>
        <w:bottom w:color="525bc5" w:space="0" w:sz="4" w:themeColor="text1" w:themeTint="000080" w:val="single"/>
      </w:tblBorders>
    </w:tblPr>
    <w:tblStylePr w:type="firstRow">
      <w:rPr>
        <w:b w:val="1"/>
        <w:bCs w:val="1"/>
        <w:color w:val="233cff" w:themeColor="accent2"/>
      </w:rPr>
      <w:tblPr/>
      <w:tcPr>
        <w:tcBorders>
          <w:bottom w:color="525bc5" w:space="0" w:sz="4" w:themeColor="text1" w:themeTint="000080" w:val="single"/>
        </w:tcBorders>
      </w:tcPr>
    </w:tblStylePr>
    <w:tblStylePr w:type="lastRow">
      <w:rPr>
        <w:b w:val="0"/>
        <w:bCs w:val="1"/>
      </w:rPr>
      <w:tblPr/>
      <w:tcPr>
        <w:tcBorders>
          <w:top w:color="525bc5" w:space="0" w:sz="4" w:themeColor="text1" w:themeTint="000080" w:val="single"/>
        </w:tcBorders>
      </w:tcPr>
    </w:tblStylePr>
    <w:tblStylePr w:type="firstCol">
      <w:rPr>
        <w:b w:val="0"/>
        <w:bCs w:val="1"/>
      </w:rPr>
    </w:tblStylePr>
    <w:tblStylePr w:type="lastCol">
      <w:rPr>
        <w:b w:val="0"/>
        <w:bCs w:val="1"/>
      </w:rPr>
    </w:tblStylePr>
    <w:tblStylePr w:type="band1Vert">
      <w:tblPr/>
      <w:tcPr>
        <w:tcBorders>
          <w:left w:color="525bc5" w:space="0" w:sz="4" w:themeColor="text1" w:themeTint="000080" w:val="single"/>
          <w:right w:color="525bc5" w:space="0" w:sz="4" w:themeColor="text1" w:themeTint="000080" w:val="single"/>
        </w:tcBorders>
      </w:tcPr>
    </w:tblStylePr>
    <w:tblStylePr w:type="band2Vert">
      <w:tblPr/>
      <w:tcPr>
        <w:tcBorders>
          <w:left w:color="525bc5" w:space="0" w:sz="4" w:themeColor="text1" w:themeTint="000080" w:val="single"/>
          <w:right w:color="525bc5" w:space="0" w:sz="4" w:themeColor="text1" w:themeTint="000080" w:val="single"/>
        </w:tcBorders>
      </w:tcPr>
    </w:tblStylePr>
    <w:tblStylePr w:type="band1Horz">
      <w:tblPr/>
      <w:tcPr>
        <w:tcBorders>
          <w:top w:color="525bc5" w:space="0" w:sz="4" w:themeColor="text1" w:themeTint="000080" w:val="single"/>
          <w:bottom w:color="525bc5" w:space="0" w:sz="4" w:themeColor="text1" w:themeTint="000080" w:val="single"/>
        </w:tcBorders>
      </w:tcPr>
    </w:tblStylePr>
  </w:style>
  <w:style w:type="character" w:styleId="CommentReference">
    <w:name w:val="annotation reference"/>
    <w:basedOn w:val="DefaultParagraphFont"/>
    <w:uiPriority w:val="99"/>
    <w:semiHidden w:val="1"/>
    <w:unhideWhenUsed w:val="1"/>
    <w:rsid w:val="00DD5AE8"/>
    <w:rPr>
      <w:sz w:val="16"/>
      <w:szCs w:val="16"/>
    </w:rPr>
  </w:style>
  <w:style w:type="paragraph" w:styleId="CommentText">
    <w:name w:val="annotation text"/>
    <w:basedOn w:val="Normal"/>
    <w:link w:val="CommentTextChar"/>
    <w:uiPriority w:val="99"/>
    <w:unhideWhenUsed w:val="1"/>
    <w:rsid w:val="00DD5AE8"/>
    <w:pPr>
      <w:spacing w:after="0" w:line="240" w:lineRule="auto"/>
    </w:pPr>
    <w:rPr>
      <w:rFonts w:ascii="Arial" w:eastAsia="MS Mincho" w:hAnsi="Arial"/>
      <w:color w:val="0d0f27" w:themeColor="text1"/>
      <w:sz w:val="20"/>
      <w:szCs w:val="20"/>
      <w:lang w:val="en-US"/>
    </w:rPr>
  </w:style>
  <w:style w:type="character" w:styleId="CommentTextChar" w:customStyle="1">
    <w:name w:val="Comment Text Char"/>
    <w:basedOn w:val="DefaultParagraphFont"/>
    <w:link w:val="CommentText"/>
    <w:uiPriority w:val="99"/>
    <w:rsid w:val="00DD5AE8"/>
    <w:rPr>
      <w:rFonts w:ascii="Arial" w:eastAsia="MS Mincho" w:hAnsi="Arial"/>
      <w:color w:val="0d0f27" w:themeColor="text1"/>
      <w:sz w:val="20"/>
      <w:szCs w:val="20"/>
      <w:lang w:val="en-US"/>
    </w:rPr>
  </w:style>
  <w:style w:type="paragraph" w:styleId="Title2" w:customStyle="1">
    <w:name w:val="Title 2"/>
    <w:basedOn w:val="Title"/>
    <w:rsid w:val="00426B88"/>
    <w:rPr>
      <w:b w:val="0"/>
      <w:color w:val="1112a3" w:themeColor="accent4"/>
    </w:rPr>
  </w:style>
  <w:style w:type="paragraph" w:styleId="Title3" w:customStyle="1">
    <w:name w:val="Title 3"/>
    <w:basedOn w:val="Title"/>
    <w:qFormat w:val="1"/>
    <w:rsid w:val="00F00E89"/>
    <w:rPr>
      <w:sz w:val="24"/>
    </w:rPr>
  </w:style>
  <w:style w:type="character" w:styleId="Strong">
    <w:name w:val="Strong"/>
    <w:qFormat w:val="1"/>
    <w:rsid w:val="001C4C5E"/>
    <w:rPr>
      <w:rFonts w:ascii="Arial Nova" w:cs="Times New Roman" w:hAnsi="Arial Nova"/>
      <w:bCs w:val="1"/>
      <w:color w:val="0d0f27" w:themeColor="text1"/>
    </w:rPr>
  </w:style>
  <w:style w:type="character" w:styleId="BodyTextChar" w:customStyle="1">
    <w:name w:val="Body Text Char"/>
    <w:basedOn w:val="DefaultParagraphFont"/>
    <w:link w:val="BodyText"/>
    <w:qFormat w:val="1"/>
    <w:rsid w:val="001C4C5E"/>
    <w:rPr>
      <w:rFonts w:ascii="Arial" w:hAnsi="Arial"/>
      <w:color w:val="0d0f27" w:themeColor="text1"/>
      <w:sz w:val="20"/>
    </w:rPr>
  </w:style>
  <w:style w:type="paragraph" w:styleId="BodyText">
    <w:name w:val="Body Text"/>
    <w:basedOn w:val="Normal"/>
    <w:link w:val="BodyTextChar"/>
    <w:unhideWhenUsed w:val="1"/>
    <w:qFormat w:val="1"/>
    <w:rsid w:val="001C4C5E"/>
    <w:pPr>
      <w:spacing w:after="180" w:before="120" w:line="240" w:lineRule="auto"/>
      <w:jc w:val="both"/>
    </w:pPr>
    <w:rPr>
      <w:rFonts w:ascii="Arial" w:hAnsi="Arial"/>
      <w:color w:val="0d0f27" w:themeColor="text1"/>
      <w:sz w:val="20"/>
    </w:rPr>
  </w:style>
  <w:style w:type="character" w:styleId="BodyTextChar1" w:customStyle="1">
    <w:name w:val="Body Text Char1"/>
    <w:basedOn w:val="DefaultParagraphFont"/>
    <w:uiPriority w:val="99"/>
    <w:semiHidden w:val="1"/>
    <w:rsid w:val="001C4C5E"/>
  </w:style>
  <w:style w:type="paragraph" w:styleId="bullet1" w:customStyle="1">
    <w:name w:val="bullet 1"/>
    <w:basedOn w:val="Normal"/>
    <w:qFormat w:val="1"/>
    <w:rsid w:val="00604761"/>
    <w:pPr>
      <w:numPr>
        <w:numId w:val="4"/>
      </w:numPr>
      <w:spacing w:after="120" w:line="240" w:lineRule="auto"/>
      <w:jc w:val="both"/>
    </w:pPr>
    <w:rPr>
      <w:rFonts w:cs="Arial" w:eastAsia="MS Mincho"/>
      <w:bCs w:val="1"/>
      <w:iCs w:val="1"/>
      <w:color w:val="0d0f27" w:themeColor="text1"/>
      <w:szCs w:val="28"/>
      <w:lang w:eastAsia="de-DE" w:val="en-US"/>
    </w:rPr>
  </w:style>
  <w:style w:type="character" w:styleId="FootnoteReference">
    <w:name w:val="footnote reference"/>
    <w:aliases w:val="Footnote symbol,Footnote,Times 10 Point,Exposant 3 Point,fr,Used by Word for Help footnote symbols,Footnote number,Footnote Reference Number,Footnote reference number,Footnote Reference Superscript,EN Footnote Reference,note TESI"/>
    <w:basedOn w:val="DefaultParagraphFont"/>
    <w:uiPriority w:val="99"/>
    <w:unhideWhenUsed w:val="1"/>
    <w:qFormat w:val="1"/>
    <w:rsid w:val="001C4C5E"/>
    <w:rPr>
      <w:vertAlign w:val="superscript"/>
    </w:rPr>
  </w:style>
  <w:style w:type="paragraph" w:styleId="TOC1">
    <w:name w:val="toc 1"/>
    <w:basedOn w:val="Normal"/>
    <w:next w:val="Normal"/>
    <w:autoRedefine w:val="1"/>
    <w:uiPriority w:val="39"/>
    <w:unhideWhenUsed w:val="1"/>
    <w:rsid w:val="000D77ED"/>
    <w:pPr>
      <w:tabs>
        <w:tab w:val="left" w:pos="737"/>
        <w:tab w:val="right" w:leader="dot" w:pos="9016"/>
      </w:tabs>
      <w:spacing w:after="0"/>
    </w:pPr>
    <w:rPr>
      <w:b w:val="1"/>
      <w:noProof w:val="1"/>
    </w:rPr>
  </w:style>
  <w:style w:type="paragraph" w:styleId="Caption">
    <w:name w:val="caption"/>
    <w:basedOn w:val="Normal"/>
    <w:next w:val="Normal"/>
    <w:uiPriority w:val="35"/>
    <w:unhideWhenUsed w:val="1"/>
    <w:qFormat w:val="1"/>
    <w:rsid w:val="00E90DB4"/>
    <w:pPr>
      <w:spacing w:after="200" w:line="240" w:lineRule="auto"/>
    </w:pPr>
    <w:rPr>
      <w:iCs w:val="1"/>
      <w:color w:val="0d0f27" w:themeColor="text2"/>
      <w:sz w:val="18"/>
      <w:szCs w:val="18"/>
    </w:rPr>
  </w:style>
  <w:style w:type="paragraph" w:styleId="TOCHeading">
    <w:name w:val="TOC Heading"/>
    <w:basedOn w:val="Heading1"/>
    <w:next w:val="Normal"/>
    <w:uiPriority w:val="39"/>
    <w:unhideWhenUsed w:val="1"/>
    <w:qFormat w:val="1"/>
    <w:rsid w:val="002D3B03"/>
    <w:pPr>
      <w:numPr>
        <w:numId w:val="0"/>
      </w:numPr>
      <w:pBdr>
        <w:bottom w:color="auto" w:space="0" w:sz="0" w:val="none"/>
      </w:pBdr>
      <w:spacing w:after="0" w:before="240"/>
      <w:outlineLvl w:val="9"/>
    </w:pPr>
    <w:rPr>
      <w:color w:val="0017d9" w:themeColor="accent1" w:themeShade="0000BF"/>
      <w:kern w:val="0"/>
      <w:sz w:val="32"/>
      <w:szCs w:val="32"/>
      <w:lang w:eastAsia="en-GB"/>
    </w:rPr>
  </w:style>
  <w:style w:type="paragraph" w:styleId="TOC2">
    <w:name w:val="toc 2"/>
    <w:basedOn w:val="Normal"/>
    <w:next w:val="Normal"/>
    <w:autoRedefine w:val="1"/>
    <w:uiPriority w:val="39"/>
    <w:unhideWhenUsed w:val="1"/>
    <w:rsid w:val="002D3B03"/>
    <w:pPr>
      <w:spacing w:after="100"/>
    </w:pPr>
  </w:style>
  <w:style w:type="paragraph" w:styleId="TOC3">
    <w:name w:val="toc 3"/>
    <w:basedOn w:val="Normal"/>
    <w:next w:val="Normal"/>
    <w:autoRedefine w:val="1"/>
    <w:uiPriority w:val="39"/>
    <w:unhideWhenUsed w:val="1"/>
    <w:rsid w:val="002D3B03"/>
    <w:pPr>
      <w:spacing w:after="100"/>
    </w:pPr>
  </w:style>
  <w:style w:type="character" w:styleId="Hyperlink">
    <w:name w:val="Hyperlink"/>
    <w:basedOn w:val="DefaultParagraphFont"/>
    <w:uiPriority w:val="99"/>
    <w:unhideWhenUsed w:val="1"/>
    <w:rsid w:val="002D3B03"/>
    <w:rPr>
      <w:color w:val="eae783" w:themeColor="hyperlink"/>
      <w:u w:val="single"/>
    </w:rPr>
  </w:style>
  <w:style w:type="paragraph" w:styleId="TableofFigures">
    <w:name w:val="table of figures"/>
    <w:basedOn w:val="Normal"/>
    <w:next w:val="Normal"/>
    <w:autoRedefine w:val="1"/>
    <w:uiPriority w:val="99"/>
    <w:unhideWhenUsed w:val="1"/>
    <w:rsid w:val="00C106D5"/>
    <w:pPr>
      <w:tabs>
        <w:tab w:val="right" w:leader="dot" w:pos="9016"/>
      </w:tabs>
      <w:spacing w:after="0"/>
    </w:pPr>
    <w:rPr>
      <w:noProof w:val="1"/>
      <w:sz w:val="18"/>
    </w:rPr>
  </w:style>
  <w:style w:type="paragraph" w:styleId="Bibliography">
    <w:name w:val="Bibliography"/>
    <w:basedOn w:val="Normal"/>
    <w:next w:val="Normal"/>
    <w:uiPriority w:val="37"/>
    <w:unhideWhenUsed w:val="1"/>
    <w:rsid w:val="00E44CCA"/>
    <w:pPr>
      <w:spacing w:after="0" w:line="240" w:lineRule="auto"/>
    </w:pPr>
    <w:rPr>
      <w:rFonts w:ascii="Open Sans" w:eastAsia="MS Mincho" w:hAnsi="Open Sans"/>
      <w:color w:val="1e225a" w:themeColor="text1" w:themeTint="0000D9"/>
      <w:lang w:val="en-US"/>
    </w:rPr>
  </w:style>
  <w:style w:type="table" w:styleId="TableGridLight">
    <w:name w:val="Grid Table Light"/>
    <w:aliases w:val="SEA4VOLT - TABLE 2"/>
    <w:basedOn w:val="TableNormal"/>
    <w:uiPriority w:val="40"/>
    <w:rsid w:val="00A9054B"/>
    <w:pPr>
      <w:spacing w:after="60" w:before="60" w:line="240" w:lineRule="auto"/>
    </w:pPr>
    <w:rPr>
      <w:color w:val="0d0f27" w:themeColor="text1"/>
    </w:rPr>
    <w:tblPr>
      <w:tblBorders>
        <w:top w:color="909cff" w:space="0" w:sz="4" w:themeColor="accent1" w:themeTint="000080" w:val="single"/>
        <w:left w:color="909cff" w:space="0" w:sz="4" w:themeColor="accent1" w:themeTint="000080" w:val="single"/>
        <w:bottom w:color="909cff" w:space="0" w:sz="4" w:themeColor="accent1" w:themeTint="000080" w:val="single"/>
        <w:right w:color="909cff" w:space="0" w:sz="4" w:themeColor="accent1" w:themeTint="000080" w:val="single"/>
        <w:insideH w:color="909cff" w:space="0" w:sz="4" w:themeColor="accent1" w:themeTint="000080" w:val="single"/>
        <w:insideV w:color="909cff" w:space="0" w:sz="4" w:themeColor="accent1" w:themeTint="000080" w:val="single"/>
      </w:tblBorders>
    </w:tblPr>
    <w:tblStylePr w:type="firstRow">
      <w:rPr>
        <w:rFonts w:asciiTheme="majorHAnsi" w:hAnsiTheme="majorHAnsi"/>
        <w:b w:val="1"/>
        <w:color w:val="233cff" w:themeColor="accent2"/>
      </w:rPr>
    </w:tblStylePr>
    <w:tblStylePr w:type="lastRow">
      <w:rPr>
        <w:b w:val="0"/>
      </w:rPr>
    </w:tblStylePr>
  </w:style>
  <w:style w:type="paragraph" w:styleId="NoSpacing">
    <w:name w:val="No Spacing"/>
    <w:link w:val="NoSpacingChar"/>
    <w:uiPriority w:val="1"/>
    <w:qFormat w:val="1"/>
    <w:rsid w:val="00DB18AD"/>
    <w:pPr>
      <w:spacing w:after="0" w:line="240" w:lineRule="auto"/>
    </w:pPr>
    <w:rPr>
      <w:rFonts w:eastAsiaTheme="minorEastAsia"/>
      <w:kern w:val="0"/>
      <w:lang w:eastAsia="en-GB"/>
    </w:rPr>
  </w:style>
  <w:style w:type="character" w:styleId="NoSpacingChar" w:customStyle="1">
    <w:name w:val="No Spacing Char"/>
    <w:basedOn w:val="DefaultParagraphFont"/>
    <w:link w:val="NoSpacing"/>
    <w:uiPriority w:val="1"/>
    <w:rsid w:val="00DB18AD"/>
    <w:rPr>
      <w:rFonts w:eastAsiaTheme="minorEastAsia"/>
      <w:kern w:val="0"/>
      <w:lang w:eastAsia="en-GB"/>
    </w:rPr>
  </w:style>
  <w:style w:type="table" w:styleId="PlainTable1">
    <w:name w:val="Plain Table 1"/>
    <w:basedOn w:val="TableNormal"/>
    <w:uiPriority w:val="41"/>
    <w:rsid w:val="009216CB"/>
    <w:pPr>
      <w:spacing w:after="0" w:line="240" w:lineRule="auto"/>
    </w:pPr>
    <w:tblPr>
      <w:tblStyleRowBandSize w:val="1"/>
      <w:tblStyleColBandSize w:val="1"/>
      <w:tblBorders>
        <w:top w:color="9292ce" w:space="0" w:sz="4" w:themeColor="background1" w:themeShade="0000BF" w:val="single"/>
        <w:left w:color="9292ce" w:space="0" w:sz="4" w:themeColor="background1" w:themeShade="0000BF" w:val="single"/>
        <w:bottom w:color="9292ce" w:space="0" w:sz="4" w:themeColor="background1" w:themeShade="0000BF" w:val="single"/>
        <w:right w:color="9292ce" w:space="0" w:sz="4" w:themeColor="background1" w:themeShade="0000BF" w:val="single"/>
        <w:insideH w:color="9292ce" w:space="0" w:sz="4" w:themeColor="background1" w:themeShade="0000BF" w:val="single"/>
        <w:insideV w:color="9292ce" w:space="0" w:sz="4" w:themeColor="background1" w:themeShade="0000BF" w:val="single"/>
      </w:tblBorders>
    </w:tblPr>
    <w:tblStylePr w:type="firstRow">
      <w:rPr>
        <w:b w:val="1"/>
        <w:bCs w:val="1"/>
      </w:rPr>
    </w:tblStylePr>
    <w:tblStylePr w:type="lastRow">
      <w:rPr>
        <w:b w:val="1"/>
        <w:bCs w:val="1"/>
      </w:rPr>
      <w:tblPr/>
      <w:tcPr>
        <w:tcBorders>
          <w:top w:color="9292ce"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d3d3eb" w:themeFill="background1" w:themeFillShade="0000F2" w:val="clear"/>
      </w:tcPr>
    </w:tblStylePr>
    <w:tblStylePr w:type="band1Horz">
      <w:tblPr/>
      <w:tcPr>
        <w:shd w:color="auto" w:fill="d3d3eb" w:themeFill="background1" w:themeFillShade="0000F2" w:val="clear"/>
      </w:tcPr>
    </w:tblStylePr>
  </w:style>
  <w:style w:type="paragraph" w:styleId="msonormal0" w:customStyle="1">
    <w:name w:val="msonormal"/>
    <w:basedOn w:val="Normal"/>
    <w:rsid w:val="002F013E"/>
    <w:pPr>
      <w:spacing w:after="100" w:afterAutospacing="1" w:before="100" w:beforeAutospacing="1" w:line="240" w:lineRule="auto"/>
    </w:pPr>
    <w:rPr>
      <w:rFonts w:ascii="Times New Roman" w:cs="Times New Roman" w:eastAsia="Times New Roman" w:hAnsi="Times New Roman"/>
      <w:kern w:val="0"/>
      <w:sz w:val="24"/>
      <w:szCs w:val="24"/>
      <w:lang w:eastAsia="en-GB"/>
    </w:rPr>
  </w:style>
  <w:style w:type="paragraph" w:styleId="paragraph" w:customStyle="1">
    <w:name w:val="paragraph"/>
    <w:basedOn w:val="Normal"/>
    <w:rsid w:val="002F013E"/>
    <w:pPr>
      <w:spacing w:after="100" w:afterAutospacing="1" w:before="100" w:beforeAutospacing="1" w:line="240" w:lineRule="auto"/>
    </w:pPr>
    <w:rPr>
      <w:rFonts w:ascii="Times New Roman" w:cs="Times New Roman" w:eastAsia="Times New Roman" w:hAnsi="Times New Roman"/>
      <w:kern w:val="0"/>
      <w:sz w:val="24"/>
      <w:szCs w:val="24"/>
      <w:lang w:eastAsia="en-GB"/>
    </w:rPr>
  </w:style>
  <w:style w:type="character" w:styleId="textrun" w:customStyle="1">
    <w:name w:val="textrun"/>
    <w:basedOn w:val="DefaultParagraphFont"/>
    <w:rsid w:val="002F013E"/>
  </w:style>
  <w:style w:type="character" w:styleId="normaltextrun" w:customStyle="1">
    <w:name w:val="normaltextrun"/>
    <w:basedOn w:val="DefaultParagraphFont"/>
    <w:rsid w:val="002F013E"/>
  </w:style>
  <w:style w:type="character" w:styleId="eop" w:customStyle="1">
    <w:name w:val="eop"/>
    <w:basedOn w:val="DefaultParagraphFont"/>
    <w:rsid w:val="002F013E"/>
  </w:style>
  <w:style w:type="character" w:styleId="pagebreakblob" w:customStyle="1">
    <w:name w:val="pagebreakblob"/>
    <w:basedOn w:val="DefaultParagraphFont"/>
    <w:rsid w:val="002F013E"/>
  </w:style>
  <w:style w:type="character" w:styleId="pagebreaktextspan" w:customStyle="1">
    <w:name w:val="pagebreaktextspan"/>
    <w:basedOn w:val="DefaultParagraphFont"/>
    <w:rsid w:val="002F013E"/>
  </w:style>
  <w:style w:type="character" w:styleId="pagebreakborderspan" w:customStyle="1">
    <w:name w:val="pagebreakborderspan"/>
    <w:basedOn w:val="DefaultParagraphFont"/>
    <w:rsid w:val="002F013E"/>
  </w:style>
  <w:style w:type="character" w:styleId="contentcontrolboundarysink" w:customStyle="1">
    <w:name w:val="contentcontrolboundarysink"/>
    <w:basedOn w:val="DefaultParagraphFont"/>
    <w:rsid w:val="002F013E"/>
  </w:style>
  <w:style w:type="character" w:styleId="contentcontrol" w:customStyle="1">
    <w:name w:val="contentcontrol"/>
    <w:basedOn w:val="DefaultParagraphFont"/>
    <w:rsid w:val="002F013E"/>
  </w:style>
  <w:style w:type="paragraph" w:styleId="outlineelement" w:customStyle="1">
    <w:name w:val="outlineelement"/>
    <w:basedOn w:val="Normal"/>
    <w:rsid w:val="002F013E"/>
    <w:pPr>
      <w:spacing w:after="100" w:afterAutospacing="1" w:before="100" w:beforeAutospacing="1" w:line="240" w:lineRule="auto"/>
    </w:pPr>
    <w:rPr>
      <w:rFonts w:ascii="Times New Roman" w:cs="Times New Roman" w:eastAsia="Times New Roman" w:hAnsi="Times New Roman"/>
      <w:kern w:val="0"/>
      <w:sz w:val="24"/>
      <w:szCs w:val="24"/>
      <w:lang w:eastAsia="en-GB"/>
    </w:rPr>
  </w:style>
  <w:style w:type="character" w:styleId="FollowedHyperlink">
    <w:name w:val="FollowedHyperlink"/>
    <w:basedOn w:val="DefaultParagraphFont"/>
    <w:uiPriority w:val="99"/>
    <w:semiHidden w:val="1"/>
    <w:unhideWhenUsed w:val="1"/>
    <w:rsid w:val="002F013E"/>
    <w:rPr>
      <w:color w:val="800080"/>
      <w:u w:val="single"/>
    </w:rPr>
  </w:style>
  <w:style w:type="character" w:styleId="tabrun" w:customStyle="1">
    <w:name w:val="tabrun"/>
    <w:basedOn w:val="DefaultParagraphFont"/>
    <w:rsid w:val="002F013E"/>
  </w:style>
  <w:style w:type="character" w:styleId="tabchar" w:customStyle="1">
    <w:name w:val="tabchar"/>
    <w:basedOn w:val="DefaultParagraphFont"/>
    <w:rsid w:val="002F013E"/>
  </w:style>
  <w:style w:type="character" w:styleId="scxw42738583" w:customStyle="1">
    <w:name w:val="scxw42738583"/>
    <w:basedOn w:val="DefaultParagraphFont"/>
    <w:rsid w:val="002F013E"/>
  </w:style>
  <w:style w:type="character" w:styleId="wacimagecontainer" w:customStyle="1">
    <w:name w:val="wacimagecontainer"/>
    <w:basedOn w:val="DefaultParagraphFont"/>
    <w:rsid w:val="002F013E"/>
  </w:style>
  <w:style w:type="character" w:styleId="linebreakblob" w:customStyle="1">
    <w:name w:val="linebreakblob"/>
    <w:basedOn w:val="DefaultParagraphFont"/>
    <w:rsid w:val="002F013E"/>
  </w:style>
  <w:style w:type="character" w:styleId="superscript" w:customStyle="1">
    <w:name w:val="superscript"/>
    <w:basedOn w:val="DefaultParagraphFont"/>
    <w:rsid w:val="002F013E"/>
  </w:style>
  <w:style w:type="character" w:styleId="UnresolvedMention">
    <w:name w:val="Unresolved Mention"/>
    <w:basedOn w:val="DefaultParagraphFont"/>
    <w:uiPriority w:val="99"/>
    <w:semiHidden w:val="1"/>
    <w:unhideWhenUsed w:val="1"/>
    <w:rsid w:val="002F013E"/>
    <w:rPr>
      <w:color w:val="605e5c"/>
      <w:shd w:color="auto" w:fill="e1dfdd" w:val="clear"/>
    </w:rPr>
  </w:style>
  <w:style w:type="table" w:styleId="PlainTable5">
    <w:name w:val="Plain Table 5"/>
    <w:basedOn w:val="TableNormal"/>
    <w:uiPriority w:val="45"/>
    <w:rsid w:val="00766EA3"/>
    <w:pPr>
      <w:spacing w:after="0" w:line="240" w:lineRule="auto"/>
    </w:pPr>
    <w:tblPr>
      <w:tblStyleRowBandSize w:val="1"/>
      <w:tblStyleColBandSize w:val="1"/>
    </w:tblPr>
    <w:tblStylePr w:type="firstRow">
      <w:rPr>
        <w:rFonts w:asciiTheme="majorHAnsi" w:cstheme="majorBidi" w:eastAsiaTheme="majorEastAsia" w:hAnsiTheme="majorHAnsi"/>
        <w:i w:val="1"/>
        <w:iCs w:val="1"/>
        <w:sz w:val="26"/>
      </w:rPr>
      <w:tblPr/>
      <w:tcPr>
        <w:tcBorders>
          <w:bottom w:color="525bc5" w:space="0" w:sz="4" w:themeColor="text1" w:themeTint="000080" w:val="single"/>
        </w:tcBorders>
        <w:shd w:color="auto" w:fill="e4e4f3" w:themeFill="background1" w:val="clear"/>
      </w:tcPr>
    </w:tblStylePr>
    <w:tblStylePr w:type="lastRow">
      <w:rPr>
        <w:rFonts w:asciiTheme="majorHAnsi" w:cstheme="majorBidi" w:eastAsiaTheme="majorEastAsia" w:hAnsiTheme="majorHAnsi"/>
        <w:i w:val="1"/>
        <w:iCs w:val="1"/>
        <w:sz w:val="26"/>
      </w:rPr>
      <w:tblPr/>
      <w:tcPr>
        <w:tcBorders>
          <w:top w:color="525bc5" w:space="0" w:sz="4" w:themeColor="text1" w:themeTint="000080" w:val="single"/>
        </w:tcBorders>
        <w:shd w:color="auto" w:fill="e4e4f3" w:themeFill="background1" w:val="clear"/>
      </w:tcPr>
    </w:tblStylePr>
    <w:tblStylePr w:type="firstCol">
      <w:pPr>
        <w:jc w:val="right"/>
      </w:pPr>
      <w:rPr>
        <w:rFonts w:asciiTheme="majorHAnsi" w:cstheme="majorBidi" w:eastAsiaTheme="majorEastAsia" w:hAnsiTheme="majorHAnsi"/>
        <w:i w:val="1"/>
        <w:iCs w:val="1"/>
        <w:sz w:val="26"/>
      </w:rPr>
      <w:tblPr/>
      <w:tcPr>
        <w:tcBorders>
          <w:right w:color="525bc5" w:space="0" w:sz="4" w:themeColor="text1" w:themeTint="000080" w:val="single"/>
        </w:tcBorders>
        <w:shd w:color="auto" w:fill="e4e4f3" w:themeFill="background1" w:val="clear"/>
      </w:tcPr>
    </w:tblStylePr>
    <w:tblStylePr w:type="lastCol">
      <w:rPr>
        <w:rFonts w:asciiTheme="majorHAnsi" w:cstheme="majorBidi" w:eastAsiaTheme="majorEastAsia" w:hAnsiTheme="majorHAnsi"/>
        <w:i w:val="1"/>
        <w:iCs w:val="1"/>
        <w:sz w:val="26"/>
      </w:rPr>
      <w:tblPr/>
      <w:tcPr>
        <w:tcBorders>
          <w:left w:color="525bc5" w:space="0" w:sz="4" w:themeColor="text1" w:themeTint="000080" w:val="single"/>
        </w:tcBorders>
        <w:shd w:color="auto" w:fill="e4e4f3" w:themeFill="background1" w:val="clear"/>
      </w:tcPr>
    </w:tblStylePr>
    <w:tblStylePr w:type="band1Vert">
      <w:tblPr/>
      <w:tcPr>
        <w:shd w:color="auto" w:fill="d3d3eb" w:themeFill="background1" w:themeFillShade="0000F2" w:val="clear"/>
      </w:tcPr>
    </w:tblStylePr>
    <w:tblStylePr w:type="band1Horz">
      <w:tblPr/>
      <w:tcPr>
        <w:shd w:color="auto" w:fill="d3d3eb"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PlainTable3">
    <w:name w:val="Plain Table 3"/>
    <w:basedOn w:val="TableNormal"/>
    <w:uiPriority w:val="43"/>
    <w:rsid w:val="00766EA3"/>
    <w:pPr>
      <w:spacing w:after="0" w:line="240" w:lineRule="auto"/>
    </w:pPr>
    <w:tblPr>
      <w:tblStyleRowBandSize w:val="1"/>
      <w:tblStyleColBandSize w:val="1"/>
    </w:tblPr>
    <w:tblStylePr w:type="firstRow">
      <w:rPr>
        <w:b w:val="1"/>
        <w:bCs w:val="1"/>
        <w:caps w:val="1"/>
      </w:rPr>
      <w:tblPr/>
      <w:tcPr>
        <w:tcBorders>
          <w:bottom w:color="525bc5" w:space="0" w:sz="4" w:themeColor="text1" w:themeTint="000080"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525bc5" w:space="0" w:sz="4" w:themeColor="text1" w:themeTint="000080" w:val="single"/>
        </w:tcBorders>
      </w:tcPr>
    </w:tblStylePr>
    <w:tblStylePr w:type="lastCol">
      <w:rPr>
        <w:b w:val="1"/>
        <w:bCs w:val="1"/>
        <w:caps w:val="1"/>
      </w:rPr>
      <w:tblPr/>
      <w:tcPr>
        <w:tcBorders>
          <w:left w:space="0" w:sz="0" w:val="nil"/>
        </w:tcBorders>
      </w:tcPr>
    </w:tblStylePr>
    <w:tblStylePr w:type="band1Vert">
      <w:tblPr/>
      <w:tcPr>
        <w:shd w:color="auto" w:fill="d3d3eb" w:themeFill="background1" w:themeFillShade="0000F2" w:val="clear"/>
      </w:tcPr>
    </w:tblStylePr>
    <w:tblStylePr w:type="band1Horz">
      <w:tblPr/>
      <w:tcPr>
        <w:shd w:color="auto" w:fill="d3d3eb"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style>
  <w:style w:type="table" w:styleId="GridTable5Dark-Accent1">
    <w:name w:val="Grid Table 5 Dark Accent 1"/>
    <w:basedOn w:val="TableNormal"/>
    <w:uiPriority w:val="50"/>
    <w:rsid w:val="00766EA3"/>
    <w:pPr>
      <w:spacing w:after="0" w:line="240" w:lineRule="auto"/>
    </w:pPr>
    <w:tblPr>
      <w:tblStyleRowBandSize w:val="1"/>
      <w:tblStyleColBandSize w:val="1"/>
      <w:tblBorders>
        <w:top w:color="e4e4f3" w:space="0" w:sz="4" w:themeColor="background1" w:val="single"/>
        <w:left w:color="e4e4f3" w:space="0" w:sz="4" w:themeColor="background1" w:val="single"/>
        <w:bottom w:color="e4e4f3" w:space="0" w:sz="4" w:themeColor="background1" w:val="single"/>
        <w:right w:color="e4e4f3" w:space="0" w:sz="4" w:themeColor="background1" w:val="single"/>
        <w:insideH w:color="e4e4f3" w:space="0" w:sz="4" w:themeColor="background1" w:val="single"/>
        <w:insideV w:color="e4e4f3" w:space="0" w:sz="4" w:themeColor="background1" w:val="single"/>
      </w:tblBorders>
    </w:tblPr>
    <w:tcPr>
      <w:shd w:color="auto" w:fill="d3d7ff" w:themeFill="accent1" w:themeFillTint="000033" w:val="clear"/>
    </w:tcPr>
    <w:tblStylePr w:type="firstRow">
      <w:rPr>
        <w:b w:val="1"/>
        <w:bCs w:val="1"/>
        <w:color w:val="e4e4f3" w:themeColor="background1"/>
      </w:rPr>
      <w:tblPr/>
      <w:tcPr>
        <w:tcBorders>
          <w:top w:color="e4e4f3" w:space="0" w:sz="4" w:themeColor="background1" w:val="single"/>
          <w:left w:color="e4e4f3" w:space="0" w:sz="4" w:themeColor="background1" w:val="single"/>
          <w:right w:color="e4e4f3" w:space="0" w:sz="4" w:themeColor="background1" w:val="single"/>
          <w:insideH w:space="0" w:sz="0" w:val="nil"/>
          <w:insideV w:space="0" w:sz="0" w:val="nil"/>
        </w:tcBorders>
        <w:shd w:color="auto" w:fill="233cff" w:themeFill="accent1" w:val="clear"/>
      </w:tcPr>
    </w:tblStylePr>
    <w:tblStylePr w:type="lastRow">
      <w:rPr>
        <w:b w:val="1"/>
        <w:bCs w:val="1"/>
        <w:color w:val="e4e4f3" w:themeColor="background1"/>
      </w:rPr>
      <w:tblPr/>
      <w:tcPr>
        <w:tcBorders>
          <w:left w:color="e4e4f3" w:space="0" w:sz="4" w:themeColor="background1" w:val="single"/>
          <w:bottom w:color="e4e4f3" w:space="0" w:sz="4" w:themeColor="background1" w:val="single"/>
          <w:right w:color="e4e4f3" w:space="0" w:sz="4" w:themeColor="background1" w:val="single"/>
          <w:insideH w:space="0" w:sz="0" w:val="nil"/>
          <w:insideV w:space="0" w:sz="0" w:val="nil"/>
        </w:tcBorders>
        <w:shd w:color="auto" w:fill="233cff" w:themeFill="accent1" w:val="clear"/>
      </w:tcPr>
    </w:tblStylePr>
    <w:tblStylePr w:type="firstCol">
      <w:rPr>
        <w:b w:val="1"/>
        <w:bCs w:val="1"/>
        <w:color w:val="e4e4f3" w:themeColor="background1"/>
      </w:rPr>
      <w:tblPr/>
      <w:tcPr>
        <w:tcBorders>
          <w:top w:color="e4e4f3" w:space="0" w:sz="4" w:themeColor="background1" w:val="single"/>
          <w:left w:color="e4e4f3" w:space="0" w:sz="4" w:themeColor="background1" w:val="single"/>
          <w:bottom w:color="e4e4f3" w:space="0" w:sz="4" w:themeColor="background1" w:val="single"/>
          <w:insideV w:space="0" w:sz="0" w:val="nil"/>
        </w:tcBorders>
        <w:shd w:color="auto" w:fill="233cff" w:themeFill="accent1" w:val="clear"/>
      </w:tcPr>
    </w:tblStylePr>
    <w:tblStylePr w:type="lastCol">
      <w:rPr>
        <w:b w:val="1"/>
        <w:bCs w:val="1"/>
        <w:color w:val="e4e4f3" w:themeColor="background1"/>
      </w:rPr>
      <w:tblPr/>
      <w:tcPr>
        <w:tcBorders>
          <w:top w:color="e4e4f3" w:space="0" w:sz="4" w:themeColor="background1" w:val="single"/>
          <w:bottom w:color="e4e4f3" w:space="0" w:sz="4" w:themeColor="background1" w:val="single"/>
          <w:right w:color="e4e4f3" w:space="0" w:sz="4" w:themeColor="background1" w:val="single"/>
          <w:insideV w:space="0" w:sz="0" w:val="nil"/>
        </w:tcBorders>
        <w:shd w:color="auto" w:fill="233cff" w:themeFill="accent1" w:val="clear"/>
      </w:tcPr>
    </w:tblStylePr>
    <w:tblStylePr w:type="band1Vert">
      <w:tblPr/>
      <w:tcPr>
        <w:shd w:color="auto" w:fill="a7b0ff" w:themeFill="accent1" w:themeFillTint="000066" w:val="clear"/>
      </w:tcPr>
    </w:tblStylePr>
    <w:tblStylePr w:type="band1Horz">
      <w:tblPr/>
      <w:tcPr>
        <w:shd w:color="auto" w:fill="a7b0ff" w:themeFill="accent1" w:themeFillTint="000066" w:val="clear"/>
      </w:tcPr>
    </w:tblStylePr>
  </w:style>
  <w:style w:type="paragraph" w:styleId="NormalWeb">
    <w:name w:val="Normal (Web)"/>
    <w:basedOn w:val="Normal"/>
    <w:uiPriority w:val="99"/>
    <w:semiHidden w:val="1"/>
    <w:unhideWhenUsed w:val="1"/>
    <w:rsid w:val="0090184F"/>
    <w:rPr>
      <w:rFonts w:ascii="Times New Roman" w:cs="Times New Roman" w:hAnsi="Times New Roman"/>
      <w:sz w:val="24"/>
      <w:szCs w:val="24"/>
    </w:rPr>
  </w:style>
  <w:style w:type="table" w:styleId="GridTable1Light-Accent1">
    <w:name w:val="Grid Table 1 Light Accent 1"/>
    <w:basedOn w:val="TableNormal"/>
    <w:uiPriority w:val="46"/>
    <w:rsid w:val="0090184F"/>
    <w:pPr>
      <w:spacing w:after="0" w:line="240" w:lineRule="auto"/>
    </w:pPr>
    <w:tblPr>
      <w:tblStyleRowBandSize w:val="1"/>
      <w:tblStyleColBandSize w:val="1"/>
      <w:tblBorders>
        <w:top w:color="a7b0ff" w:space="0" w:sz="4" w:themeColor="accent1" w:themeTint="000066" w:val="single"/>
        <w:left w:color="a7b0ff" w:space="0" w:sz="4" w:themeColor="accent1" w:themeTint="000066" w:val="single"/>
        <w:bottom w:color="a7b0ff" w:space="0" w:sz="4" w:themeColor="accent1" w:themeTint="000066" w:val="single"/>
        <w:right w:color="a7b0ff" w:space="0" w:sz="4" w:themeColor="accent1" w:themeTint="000066" w:val="single"/>
        <w:insideH w:color="a7b0ff" w:space="0" w:sz="4" w:themeColor="accent1" w:themeTint="000066" w:val="single"/>
        <w:insideV w:color="a7b0ff" w:space="0" w:sz="4" w:themeColor="accent1" w:themeTint="000066" w:val="single"/>
      </w:tblBorders>
    </w:tblPr>
    <w:tblStylePr w:type="firstRow">
      <w:rPr>
        <w:b w:val="1"/>
        <w:bCs w:val="1"/>
      </w:rPr>
      <w:tblPr/>
      <w:tcPr>
        <w:tcBorders>
          <w:bottom w:color="7b89ff" w:space="0" w:sz="12" w:themeColor="accent1" w:themeTint="000099" w:val="single"/>
        </w:tcBorders>
      </w:tcPr>
    </w:tblStylePr>
    <w:tblStylePr w:type="lastRow">
      <w:rPr>
        <w:b w:val="1"/>
        <w:bCs w:val="1"/>
      </w:rPr>
      <w:tblPr/>
      <w:tcPr>
        <w:tcBorders>
          <w:top w:color="7b89ff" w:space="0" w:sz="2" w:themeColor="accent1" w:themeTint="000099" w:val="double"/>
        </w:tcBorders>
      </w:tcPr>
    </w:tblStylePr>
    <w:tblStylePr w:type="firstCol">
      <w:rPr>
        <w:b w:val="1"/>
        <w:bCs w:val="1"/>
      </w:rPr>
    </w:tblStylePr>
    <w:tblStylePr w:type="lastCol">
      <w:rPr>
        <w:b w:val="1"/>
        <w:bCs w:val="1"/>
      </w:rPr>
    </w:tblStylePr>
  </w:style>
  <w:style w:type="paragraph" w:styleId="Style2" w:customStyle="1">
    <w:name w:val="Style2"/>
    <w:basedOn w:val="Heading2"/>
    <w:autoRedefine w:val="1"/>
    <w:rsid w:val="002932E9"/>
    <w:pPr>
      <w:keepLines w:val="0"/>
      <w:numPr>
        <w:numId w:val="6"/>
      </w:numPr>
      <w:pBdr>
        <w:bottom w:color="auto" w:space="0" w:sz="0" w:val="none"/>
      </w:pBdr>
      <w:spacing w:after="120" w:before="240" w:line="300" w:lineRule="atLeast"/>
      <w:jc w:val="both"/>
    </w:pPr>
    <w:rPr>
      <w:rFonts w:ascii="Verdana" w:cs="Times New Roman" w:eastAsia="Times New Roman" w:hAnsi="Verdana"/>
      <w:b w:val="1"/>
      <w:noProof w:val="1"/>
      <w:color w:val="auto"/>
      <w:kern w:val="0"/>
      <w:sz w:val="22"/>
      <w:szCs w:val="20"/>
      <w:lang w:eastAsia="nl-NL"/>
    </w:rPr>
  </w:style>
  <w:style w:type="paragraph" w:styleId="Style3" w:customStyle="1">
    <w:name w:val="Style3"/>
    <w:basedOn w:val="Heading3"/>
    <w:autoRedefine w:val="1"/>
    <w:rsid w:val="002932E9"/>
    <w:pPr>
      <w:keepLines w:val="0"/>
      <w:numPr>
        <w:numId w:val="6"/>
      </w:numPr>
      <w:pBdr>
        <w:bottom w:color="auto" w:space="0" w:sz="0" w:val="none"/>
      </w:pBdr>
      <w:spacing w:after="120" w:before="240" w:line="300" w:lineRule="atLeast"/>
      <w:jc w:val="both"/>
    </w:pPr>
    <w:rPr>
      <w:rFonts w:ascii="Verdana" w:cs="Arial" w:eastAsia="Times New Roman" w:hAnsi="Verdana"/>
      <w:b w:val="1"/>
      <w:bCs w:val="1"/>
      <w:color w:val="auto"/>
      <w:kern w:val="0"/>
      <w:sz w:val="24"/>
      <w:szCs w:val="26"/>
      <w:lang w:eastAsia="en-GB"/>
    </w:rPr>
  </w:style>
  <w:style w:type="paragraph" w:styleId="Style4" w:customStyle="1">
    <w:name w:val="Style4"/>
    <w:basedOn w:val="Heading4"/>
    <w:autoRedefine w:val="1"/>
    <w:rsid w:val="002932E9"/>
    <w:pPr>
      <w:keepLines w:val="0"/>
      <w:numPr>
        <w:numId w:val="6"/>
      </w:numPr>
      <w:pBdr>
        <w:bottom w:color="auto" w:space="0" w:sz="0" w:val="none"/>
      </w:pBdr>
      <w:spacing w:after="120" w:before="240" w:line="300" w:lineRule="atLeast"/>
      <w:jc w:val="both"/>
    </w:pPr>
    <w:rPr>
      <w:rFonts w:ascii="Verdana" w:cs="Times New Roman" w:eastAsia="Times New Roman" w:hAnsi="Verdana"/>
      <w:bCs w:val="1"/>
      <w:i w:val="1"/>
      <w:iCs w:val="0"/>
      <w:color w:val="324a5e"/>
      <w:kern w:val="0"/>
      <w:sz w:val="20"/>
      <w:szCs w:val="20"/>
      <w:lang w:eastAsia="en-GB"/>
    </w:rPr>
  </w:style>
  <w:style w:type="character" w:styleId="ListParagraphChar" w:customStyle="1">
    <w:name w:val="List Paragraph Char"/>
    <w:aliases w:val="Viñetas (Inicio Parrafo) Char,3 Txt tabla Char,Zerrenda-paragrafoa Char,1st level - Bullet List Paragraph Char,Lettre d'introduction Char,Lista viñetas Char,Colorful List - Accent 11 Char,Bullets_normal Char,Paragraphe de liste Char"/>
    <w:link w:val="ListParagraph"/>
    <w:uiPriority w:val="34"/>
    <w:rsid w:val="007A1B53"/>
  </w:style>
  <w:style w:type="paragraph" w:styleId="FootnoteText">
    <w:name w:val="footnote text"/>
    <w:aliases w:val="Footnode-text,Schriftart: 9 pt,Schriftart: 10 pt,Schriftart: 8 pt,WB-Fußnotentext,fn,Footnotes,Footnote ak,Footnote text,New Footnote,footnote text,FoodNote,ft,Footnote Text Char Char,Footnote Text Char1 Char Cha,C,Fußn,f,fn1"/>
    <w:basedOn w:val="Normal"/>
    <w:link w:val="FootnoteTextChar"/>
    <w:uiPriority w:val="99"/>
    <w:qFormat w:val="1"/>
    <w:rsid w:val="007A1B53"/>
    <w:pPr>
      <w:spacing w:after="0" w:line="276" w:lineRule="auto"/>
    </w:pPr>
    <w:rPr>
      <w:rFonts w:ascii="Times New Roman" w:cs="Times New Roman" w:eastAsia="Calibri" w:hAnsi="Times New Roman"/>
      <w:kern w:val="0"/>
      <w:sz w:val="20"/>
      <w:szCs w:val="20"/>
      <w:lang w:eastAsia="it-IT" w:val="it-IT"/>
    </w:rPr>
  </w:style>
  <w:style w:type="character" w:styleId="FootnoteTextChar" w:customStyle="1">
    <w:name w:val="Footnote Text Char"/>
    <w:aliases w:val="Footnode-text Char,Schriftart: 9 pt Char,Schriftart: 10 pt Char,Schriftart: 8 pt Char,WB-Fußnotentext Char,fn Char,Footnotes Char,Footnote ak Char,Footnote text Char,New Footnote Char,footnote text Char,FoodNote Char,ft Char,C Char"/>
    <w:basedOn w:val="DefaultParagraphFont"/>
    <w:link w:val="FootnoteText"/>
    <w:uiPriority w:val="99"/>
    <w:rsid w:val="007A1B53"/>
    <w:rPr>
      <w:rFonts w:ascii="Times New Roman" w:cs="Times New Roman" w:eastAsia="Calibri" w:hAnsi="Times New Roman"/>
      <w:kern w:val="0"/>
      <w:sz w:val="20"/>
      <w:szCs w:val="20"/>
      <w:lang w:eastAsia="it-IT" w:val="it-IT"/>
    </w:rPr>
  </w:style>
  <w:style w:type="paragraph" w:styleId="Subtitle">
    <w:name w:val="Subtitle"/>
    <w:basedOn w:val="Normal"/>
    <w:next w:val="Normal"/>
    <w:pPr/>
    <w:rPr>
      <w:color w:val="0d0f27"/>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3d3eb" w:val="clear"/>
      </w:tcPr>
    </w:tblStylePr>
    <w:tblStylePr w:type="band1Vert">
      <w:tcPr>
        <w:shd w:fill="d3d3eb"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9292ce"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ec.europa.eu/info/funding-tenders/opportunities/docs/2021-2027/common/guidance/guidance-on-participation-in-eu-calls-with-ownership-and-control-restrictions_en.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CIPHER">
      <a:dk1>
        <a:srgbClr val="0D0F27"/>
      </a:dk1>
      <a:lt1>
        <a:srgbClr val="E4E4F3"/>
      </a:lt1>
      <a:dk2>
        <a:srgbClr val="0D0F27"/>
      </a:dk2>
      <a:lt2>
        <a:srgbClr val="E4E4F3"/>
      </a:lt2>
      <a:accent1>
        <a:srgbClr val="233CFF"/>
      </a:accent1>
      <a:accent2>
        <a:srgbClr val="233CFF"/>
      </a:accent2>
      <a:accent3>
        <a:srgbClr val="233CFF"/>
      </a:accent3>
      <a:accent4>
        <a:srgbClr val="1112A3"/>
      </a:accent4>
      <a:accent5>
        <a:srgbClr val="FF227F"/>
      </a:accent5>
      <a:accent6>
        <a:srgbClr val="FF227F"/>
      </a:accent6>
      <a:hlink>
        <a:srgbClr val="EAE783"/>
      </a:hlink>
      <a:folHlink>
        <a:srgbClr val="F0C288"/>
      </a:folHlink>
    </a:clrScheme>
    <a:fontScheme name="AttractAdri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1WglweHp0J6enSuaojwd/JdQs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zgAciExN3BMcC1Ec0gwQ2Y3ZlJwcGZyRXltU3hlckhSejlza2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2026-10-09T22:30:00Z</dcterms:created>
  <dc:creator>Minoo Doost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0x01010006F553AFB65E24488FF6A3005F1958E3</vt:lpwstr>
  </property>
  <property fmtid="{D5CDD505-2E9C-101B-9397-08002B2CF9AE}" pid="3" name="_dlc_DocIdItemGuid">
    <vt:lpwstr>8532917b-6f58-4f6a-99e9-8fa11fc0fda9</vt:lpwstr>
  </property>
</Properties>
</file>